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473185992"/>
        <w:docPartObj>
          <w:docPartGallery w:val="Cover Pages"/>
          <w:docPartUnique/>
        </w:docPartObj>
      </w:sdtPr>
      <w:sdtEndPr>
        <w:rPr>
          <w:rFonts w:ascii="Times New Roman" w:hAnsi="Times New Roman" w:cs="Times New Roman"/>
          <w:sz w:val="24"/>
          <w:szCs w:val="24"/>
        </w:rPr>
      </w:sdtEndPr>
      <w:sdtContent>
        <w:p w14:paraId="40B19529" w14:textId="77777777" w:rsidR="00F00234" w:rsidRDefault="00F00234"/>
        <w:p w14:paraId="54AAFB89" w14:textId="77777777" w:rsidR="00F00234" w:rsidRDefault="00F00234"/>
        <w:p w14:paraId="67F5E2C9" w14:textId="77777777" w:rsidR="00F00234" w:rsidRDefault="00F00234"/>
        <w:p w14:paraId="24FA6020" w14:textId="77777777" w:rsidR="00F00234" w:rsidRDefault="00F00234"/>
        <w:p w14:paraId="31562E47" w14:textId="77777777" w:rsidR="00F00234" w:rsidRDefault="00F00234"/>
        <w:p w14:paraId="666F5104" w14:textId="77777777" w:rsidR="00F00234" w:rsidRDefault="00F00234"/>
        <w:p w14:paraId="5251DCDB" w14:textId="731152D1" w:rsidR="004403B8" w:rsidRDefault="004403B8" w:rsidP="00F00234">
          <w:pPr>
            <w:jc w:val="center"/>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2C0798B0" wp14:editId="052FFA7C">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8C8DD" w14:textId="4A470FE0" w:rsidR="004403B8" w:rsidRPr="004403B8" w:rsidRDefault="004403B8" w:rsidP="004403B8">
                                <w:pPr>
                                  <w:pStyle w:val="NoSpacing"/>
                                  <w:jc w:val="right"/>
                                  <w:rPr>
                                    <w:color w:val="4472C4" w:themeColor="accent1"/>
                                    <w:sz w:val="28"/>
                                    <w:szCs w:val="28"/>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2C0798B0" id="_x0000_t202" coordsize="21600,21600" o:spt="202" path="m,l,21600r21600,l21600,xe">
                    <v:stroke joinstyle="miter"/>
                    <v:path gradientshapeok="t" o:connecttype="rect"/>
                  </v:shapetype>
                  <v:shape id="Text Box 153" o:spid="_x0000_s1026" type="#_x0000_t202" style="position:absolute;left:0;text-align:left;margin-left:0;margin-top:0;width:8in;height:79.5pt;z-index:251660288;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p w14:paraId="4718C8DD" w14:textId="4A470FE0" w:rsidR="004403B8" w:rsidRPr="004403B8" w:rsidRDefault="004403B8" w:rsidP="004403B8">
                          <w:pPr>
                            <w:pStyle w:val="NoSpacing"/>
                            <w:jc w:val="right"/>
                            <w:rPr>
                              <w:color w:val="4472C4" w:themeColor="accent1"/>
                              <w:sz w:val="28"/>
                              <w:szCs w:val="28"/>
                            </w:rPr>
                          </w:pPr>
                        </w:p>
                      </w:txbxContent>
                    </v:textbox>
                    <w10:wrap type="square" anchorx="page" anchory="page"/>
                  </v:shape>
                </w:pict>
              </mc:Fallback>
            </mc:AlternateContent>
          </w:r>
          <w:r w:rsidR="00F00234">
            <w:rPr>
              <w:rFonts w:ascii="Times New Roman" w:hAnsi="Times New Roman" w:cs="Times New Roman"/>
              <w:sz w:val="24"/>
              <w:szCs w:val="24"/>
            </w:rPr>
            <w:t>Financial Forecasting Assignment</w:t>
          </w:r>
        </w:p>
        <w:p w14:paraId="7AA3014D" w14:textId="361AB16B" w:rsidR="00F00234" w:rsidRDefault="00F00234" w:rsidP="00F00234">
          <w:pPr>
            <w:jc w:val="center"/>
            <w:rPr>
              <w:rFonts w:ascii="Times New Roman" w:hAnsi="Times New Roman" w:cs="Times New Roman"/>
              <w:sz w:val="24"/>
              <w:szCs w:val="24"/>
            </w:rPr>
          </w:pPr>
        </w:p>
        <w:p w14:paraId="391518A2" w14:textId="795ED29E" w:rsidR="00F00234" w:rsidRDefault="00F00234" w:rsidP="00F00234">
          <w:pPr>
            <w:jc w:val="center"/>
            <w:rPr>
              <w:rFonts w:ascii="Times New Roman" w:hAnsi="Times New Roman" w:cs="Times New Roman"/>
              <w:sz w:val="24"/>
              <w:szCs w:val="24"/>
            </w:rPr>
          </w:pPr>
        </w:p>
        <w:p w14:paraId="45C2FA73" w14:textId="68301656" w:rsidR="00F00234" w:rsidRDefault="00F00234" w:rsidP="00F00234">
          <w:pPr>
            <w:jc w:val="center"/>
            <w:rPr>
              <w:rFonts w:ascii="Times New Roman" w:hAnsi="Times New Roman" w:cs="Times New Roman"/>
              <w:sz w:val="24"/>
              <w:szCs w:val="24"/>
            </w:rPr>
          </w:pPr>
        </w:p>
        <w:p w14:paraId="71C18215" w14:textId="77777777" w:rsidR="00F00234" w:rsidRDefault="00F00234" w:rsidP="00F00234">
          <w:pPr>
            <w:jc w:val="center"/>
            <w:rPr>
              <w:rFonts w:ascii="Times New Roman" w:hAnsi="Times New Roman" w:cs="Times New Roman"/>
              <w:sz w:val="24"/>
              <w:szCs w:val="24"/>
            </w:rPr>
          </w:pPr>
        </w:p>
        <w:p w14:paraId="711C52BC" w14:textId="77777777" w:rsidR="00F00234" w:rsidRDefault="00F00234" w:rsidP="00F00234">
          <w:pPr>
            <w:jc w:val="center"/>
            <w:rPr>
              <w:rFonts w:ascii="Times New Roman" w:hAnsi="Times New Roman" w:cs="Times New Roman"/>
              <w:sz w:val="24"/>
              <w:szCs w:val="24"/>
            </w:rPr>
          </w:pPr>
        </w:p>
        <w:p w14:paraId="418860DE" w14:textId="77777777" w:rsidR="00F00234" w:rsidRDefault="00F00234" w:rsidP="00F00234">
          <w:pPr>
            <w:jc w:val="center"/>
            <w:rPr>
              <w:rFonts w:ascii="Times New Roman" w:hAnsi="Times New Roman" w:cs="Times New Roman"/>
              <w:sz w:val="24"/>
              <w:szCs w:val="24"/>
            </w:rPr>
          </w:pPr>
        </w:p>
        <w:p w14:paraId="3C15AC35" w14:textId="77777777" w:rsidR="00F00234" w:rsidRDefault="00F00234" w:rsidP="00F00234">
          <w:pPr>
            <w:jc w:val="center"/>
            <w:rPr>
              <w:rFonts w:ascii="Times New Roman" w:hAnsi="Times New Roman" w:cs="Times New Roman"/>
              <w:sz w:val="24"/>
              <w:szCs w:val="24"/>
            </w:rPr>
          </w:pPr>
        </w:p>
        <w:p w14:paraId="17D5D143" w14:textId="3B4AB52F" w:rsidR="00F00234" w:rsidRDefault="00F00234" w:rsidP="00F00234">
          <w:pPr>
            <w:jc w:val="center"/>
            <w:rPr>
              <w:rFonts w:ascii="Times New Roman" w:hAnsi="Times New Roman" w:cs="Times New Roman"/>
              <w:sz w:val="24"/>
              <w:szCs w:val="24"/>
            </w:rPr>
          </w:pPr>
          <w:r>
            <w:rPr>
              <w:rFonts w:ascii="Times New Roman" w:hAnsi="Times New Roman" w:cs="Times New Roman"/>
              <w:sz w:val="24"/>
              <w:szCs w:val="24"/>
            </w:rPr>
            <w:t>Students Name and Details</w:t>
          </w:r>
        </w:p>
        <w:p w14:paraId="0280DB33" w14:textId="2465DF4A" w:rsidR="00F00234" w:rsidRDefault="00F00234" w:rsidP="00F00234">
          <w:pPr>
            <w:jc w:val="center"/>
            <w:rPr>
              <w:rFonts w:ascii="Times New Roman" w:hAnsi="Times New Roman" w:cs="Times New Roman"/>
              <w:sz w:val="24"/>
              <w:szCs w:val="24"/>
            </w:rPr>
          </w:pPr>
        </w:p>
        <w:p w14:paraId="7333D05B" w14:textId="25CD25ED" w:rsidR="00F00234" w:rsidRDefault="00F00234" w:rsidP="00F00234">
          <w:pPr>
            <w:jc w:val="center"/>
            <w:rPr>
              <w:rFonts w:ascii="Times New Roman" w:hAnsi="Times New Roman" w:cs="Times New Roman"/>
              <w:sz w:val="24"/>
              <w:szCs w:val="24"/>
            </w:rPr>
          </w:pPr>
        </w:p>
        <w:p w14:paraId="3AAD54F0" w14:textId="26A05747" w:rsidR="00F00234" w:rsidRDefault="00F00234" w:rsidP="00F00234">
          <w:pPr>
            <w:jc w:val="center"/>
            <w:rPr>
              <w:rFonts w:ascii="Times New Roman" w:hAnsi="Times New Roman" w:cs="Times New Roman"/>
              <w:sz w:val="24"/>
              <w:szCs w:val="24"/>
            </w:rPr>
          </w:pPr>
        </w:p>
        <w:p w14:paraId="7040FB55" w14:textId="07F6E318" w:rsidR="00F00234" w:rsidRDefault="00F00234" w:rsidP="00F00234">
          <w:pPr>
            <w:jc w:val="center"/>
            <w:rPr>
              <w:rFonts w:ascii="Times New Roman" w:hAnsi="Times New Roman" w:cs="Times New Roman"/>
              <w:sz w:val="24"/>
              <w:szCs w:val="24"/>
            </w:rPr>
          </w:pPr>
        </w:p>
        <w:p w14:paraId="2572C2E6" w14:textId="3EABA75B" w:rsidR="00F00234" w:rsidRDefault="00F00234" w:rsidP="00F00234">
          <w:pPr>
            <w:jc w:val="center"/>
            <w:rPr>
              <w:rFonts w:ascii="Times New Roman" w:hAnsi="Times New Roman" w:cs="Times New Roman"/>
              <w:sz w:val="24"/>
              <w:szCs w:val="24"/>
            </w:rPr>
          </w:pPr>
        </w:p>
        <w:p w14:paraId="5A401191" w14:textId="66EEDAC3" w:rsidR="00F00234" w:rsidRDefault="00F00234" w:rsidP="00F00234">
          <w:pPr>
            <w:jc w:val="center"/>
            <w:rPr>
              <w:rFonts w:ascii="Times New Roman" w:hAnsi="Times New Roman" w:cs="Times New Roman"/>
              <w:sz w:val="24"/>
              <w:szCs w:val="24"/>
            </w:rPr>
          </w:pPr>
        </w:p>
        <w:p w14:paraId="744B6B0A" w14:textId="0C5656AC" w:rsidR="00F00234" w:rsidRDefault="00F00234" w:rsidP="00F00234">
          <w:pPr>
            <w:jc w:val="center"/>
            <w:rPr>
              <w:rFonts w:ascii="Times New Roman" w:hAnsi="Times New Roman" w:cs="Times New Roman"/>
              <w:sz w:val="24"/>
              <w:szCs w:val="24"/>
            </w:rPr>
          </w:pPr>
        </w:p>
        <w:p w14:paraId="572C7CC4" w14:textId="521F8D08" w:rsidR="00F00234" w:rsidRDefault="00F00234" w:rsidP="00F00234">
          <w:pPr>
            <w:jc w:val="center"/>
            <w:rPr>
              <w:rFonts w:ascii="Times New Roman" w:hAnsi="Times New Roman" w:cs="Times New Roman"/>
              <w:sz w:val="24"/>
              <w:szCs w:val="24"/>
            </w:rPr>
          </w:pPr>
        </w:p>
        <w:p w14:paraId="356BD62F" w14:textId="03ED05E1" w:rsidR="00F00234" w:rsidRDefault="00F00234" w:rsidP="00F00234">
          <w:pPr>
            <w:jc w:val="center"/>
            <w:rPr>
              <w:rFonts w:ascii="Times New Roman" w:hAnsi="Times New Roman" w:cs="Times New Roman"/>
              <w:sz w:val="24"/>
              <w:szCs w:val="24"/>
            </w:rPr>
          </w:pPr>
          <w:r>
            <w:rPr>
              <w:rFonts w:ascii="Times New Roman" w:hAnsi="Times New Roman" w:cs="Times New Roman"/>
              <w:sz w:val="24"/>
              <w:szCs w:val="24"/>
            </w:rPr>
            <w:t>Course Name</w:t>
          </w:r>
        </w:p>
        <w:p w14:paraId="3707497A" w14:textId="4F0E95DE" w:rsidR="00F00234" w:rsidRDefault="00F00234" w:rsidP="00F00234">
          <w:pPr>
            <w:jc w:val="center"/>
            <w:rPr>
              <w:rFonts w:ascii="Times New Roman" w:hAnsi="Times New Roman" w:cs="Times New Roman"/>
              <w:sz w:val="24"/>
              <w:szCs w:val="24"/>
            </w:rPr>
          </w:pPr>
          <w:r>
            <w:rPr>
              <w:rFonts w:ascii="Times New Roman" w:hAnsi="Times New Roman" w:cs="Times New Roman"/>
              <w:sz w:val="24"/>
              <w:szCs w:val="24"/>
            </w:rPr>
            <w:t>Professor Name</w:t>
          </w:r>
        </w:p>
        <w:p w14:paraId="7D983A50" w14:textId="62DE8550" w:rsidR="00F00234" w:rsidRDefault="00F00234" w:rsidP="00F0023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12557CB" w14:textId="4642E95A" w:rsidR="00F0509A" w:rsidRPr="00F0509A" w:rsidRDefault="00F00234" w:rsidP="00F0509A">
          <w:pPr>
            <w:jc w:val="center"/>
          </w:pPr>
          <w:r>
            <w:rPr>
              <w:rFonts w:ascii="Times New Roman" w:hAnsi="Times New Roman" w:cs="Times New Roman"/>
              <w:sz w:val="24"/>
              <w:szCs w:val="24"/>
            </w:rPr>
            <w:t>Date of submission</w:t>
          </w:r>
        </w:p>
      </w:sdtContent>
    </w:sdt>
    <w:p w14:paraId="105B9F9A" w14:textId="31D91C74" w:rsidR="00C258AE" w:rsidRPr="00F0509A" w:rsidRDefault="00C258AE">
      <w:pPr>
        <w:rPr>
          <w:rFonts w:ascii="Times New Roman" w:hAnsi="Times New Roman" w:cs="Times New Roman"/>
          <w:sz w:val="24"/>
          <w:szCs w:val="24"/>
        </w:rPr>
      </w:pPr>
      <w:r w:rsidRPr="003959BE">
        <w:rPr>
          <w:rFonts w:ascii="Times New Roman" w:hAnsi="Times New Roman" w:cs="Times New Roman"/>
          <w:b/>
          <w:bCs/>
          <w:sz w:val="24"/>
          <w:szCs w:val="24"/>
        </w:rPr>
        <w:lastRenderedPageBreak/>
        <w:t>Financial Forecast for a Healthcare’s Organization External Funding</w:t>
      </w:r>
    </w:p>
    <w:p w14:paraId="53336BC1" w14:textId="76B9BBF4" w:rsidR="00FE030F" w:rsidRDefault="00FE030F">
      <w:pPr>
        <w:rPr>
          <w:rFonts w:ascii="Times New Roman" w:hAnsi="Times New Roman" w:cs="Times New Roman"/>
          <w:sz w:val="24"/>
          <w:szCs w:val="24"/>
        </w:rPr>
      </w:pPr>
    </w:p>
    <w:p w14:paraId="4E6C6E9C" w14:textId="4DD6A2B1" w:rsidR="00FE030F" w:rsidRPr="003959BE" w:rsidRDefault="00FE030F">
      <w:pPr>
        <w:rPr>
          <w:rFonts w:ascii="Times New Roman" w:hAnsi="Times New Roman" w:cs="Times New Roman"/>
          <w:b/>
          <w:bCs/>
          <w:sz w:val="24"/>
          <w:szCs w:val="24"/>
        </w:rPr>
      </w:pPr>
      <w:r w:rsidRPr="003959BE">
        <w:rPr>
          <w:rFonts w:ascii="Times New Roman" w:hAnsi="Times New Roman" w:cs="Times New Roman"/>
          <w:b/>
          <w:bCs/>
          <w:sz w:val="24"/>
          <w:szCs w:val="24"/>
        </w:rPr>
        <w:t>Abstract</w:t>
      </w:r>
    </w:p>
    <w:p w14:paraId="13C894BC" w14:textId="753FD012" w:rsidR="00FA2002" w:rsidRDefault="00FA2002">
      <w:pPr>
        <w:rPr>
          <w:rFonts w:ascii="Times New Roman" w:hAnsi="Times New Roman" w:cs="Times New Roman"/>
          <w:sz w:val="24"/>
          <w:szCs w:val="24"/>
        </w:rPr>
      </w:pPr>
      <w:r>
        <w:rPr>
          <w:rFonts w:ascii="Times New Roman" w:hAnsi="Times New Roman" w:cs="Times New Roman"/>
          <w:sz w:val="24"/>
          <w:szCs w:val="24"/>
        </w:rPr>
        <w:t xml:space="preserve">Forecasting is the science of predicting future events. Financial Forecasting is </w:t>
      </w:r>
      <w:r w:rsidR="009B3E70">
        <w:rPr>
          <w:rFonts w:ascii="Times New Roman" w:hAnsi="Times New Roman" w:cs="Times New Roman"/>
          <w:sz w:val="24"/>
          <w:szCs w:val="24"/>
        </w:rPr>
        <w:t>estimating how a business will perform in the near future</w:t>
      </w:r>
      <w:r w:rsidR="003F4008">
        <w:rPr>
          <w:rFonts w:ascii="Times New Roman" w:hAnsi="Times New Roman" w:cs="Times New Roman"/>
          <w:sz w:val="24"/>
          <w:szCs w:val="24"/>
        </w:rPr>
        <w:t xml:space="preserve"> (Abu Mostafa, 1996)</w:t>
      </w:r>
      <w:r w:rsidR="009B3E70">
        <w:rPr>
          <w:rFonts w:ascii="Times New Roman" w:hAnsi="Times New Roman" w:cs="Times New Roman"/>
          <w:sz w:val="24"/>
          <w:szCs w:val="24"/>
        </w:rPr>
        <w:t>. In a complete fi</w:t>
      </w:r>
      <w:r w:rsidR="00E97629">
        <w:rPr>
          <w:rFonts w:ascii="Times New Roman" w:hAnsi="Times New Roman" w:cs="Times New Roman"/>
          <w:sz w:val="24"/>
          <w:szCs w:val="24"/>
        </w:rPr>
        <w:t>nancial model, the three types of financial statements are forecasted</w:t>
      </w:r>
      <w:r w:rsidR="00FE030F">
        <w:rPr>
          <w:rFonts w:ascii="Times New Roman" w:hAnsi="Times New Roman" w:cs="Times New Roman"/>
          <w:sz w:val="24"/>
          <w:szCs w:val="24"/>
        </w:rPr>
        <w:t>; income statement, cash flow and balance sheet.</w:t>
      </w:r>
    </w:p>
    <w:p w14:paraId="73A7BFC3" w14:textId="0458A529" w:rsidR="00E97629" w:rsidRDefault="00E97629">
      <w:pPr>
        <w:rPr>
          <w:rFonts w:ascii="Times New Roman" w:hAnsi="Times New Roman" w:cs="Times New Roman"/>
          <w:sz w:val="24"/>
          <w:szCs w:val="24"/>
        </w:rPr>
      </w:pPr>
      <w:r>
        <w:rPr>
          <w:rFonts w:ascii="Times New Roman" w:hAnsi="Times New Roman" w:cs="Times New Roman"/>
          <w:sz w:val="24"/>
          <w:szCs w:val="24"/>
        </w:rPr>
        <w:t xml:space="preserve"> A pro forma statement financial statement summarizes the projected future status of the company after any planned transactions are made, but based on the current year financial statements</w:t>
      </w:r>
      <w:r w:rsidR="00033F7B">
        <w:rPr>
          <w:rFonts w:ascii="Times New Roman" w:hAnsi="Times New Roman" w:cs="Times New Roman"/>
          <w:sz w:val="24"/>
          <w:szCs w:val="24"/>
        </w:rPr>
        <w:t xml:space="preserve"> </w:t>
      </w:r>
      <w:r w:rsidR="003F4008">
        <w:rPr>
          <w:rFonts w:ascii="Times New Roman" w:hAnsi="Times New Roman" w:cs="Times New Roman"/>
          <w:sz w:val="24"/>
          <w:szCs w:val="24"/>
        </w:rPr>
        <w:t>(P Andersson, N Hellman, 2007).</w:t>
      </w:r>
    </w:p>
    <w:p w14:paraId="64095589" w14:textId="29AA6CC2" w:rsidR="00E97629" w:rsidRDefault="00E97629">
      <w:pPr>
        <w:rPr>
          <w:rFonts w:ascii="Times New Roman" w:hAnsi="Times New Roman" w:cs="Times New Roman"/>
          <w:sz w:val="24"/>
          <w:szCs w:val="24"/>
        </w:rPr>
      </w:pPr>
      <w:r>
        <w:rPr>
          <w:rFonts w:ascii="Times New Roman" w:hAnsi="Times New Roman" w:cs="Times New Roman"/>
          <w:sz w:val="24"/>
          <w:szCs w:val="24"/>
        </w:rPr>
        <w:t xml:space="preserve">Pro forma statements exclude unusual and nonrecurring transactions with a huge emphasis on projected cashflows and net revenues. </w:t>
      </w:r>
    </w:p>
    <w:p w14:paraId="0A1B12BD" w14:textId="77777777" w:rsidR="004403B8" w:rsidRDefault="004403B8">
      <w:pPr>
        <w:rPr>
          <w:rFonts w:ascii="Times New Roman" w:hAnsi="Times New Roman" w:cs="Times New Roman"/>
          <w:sz w:val="24"/>
          <w:szCs w:val="24"/>
        </w:rPr>
      </w:pPr>
    </w:p>
    <w:p w14:paraId="486B22FF" w14:textId="5286EB1D" w:rsidR="003959BE" w:rsidRDefault="003959BE">
      <w:pPr>
        <w:rPr>
          <w:rFonts w:ascii="Times New Roman" w:hAnsi="Times New Roman" w:cs="Times New Roman"/>
          <w:sz w:val="24"/>
          <w:szCs w:val="24"/>
        </w:rPr>
      </w:pPr>
      <w:r>
        <w:rPr>
          <w:rFonts w:ascii="Times New Roman" w:hAnsi="Times New Roman" w:cs="Times New Roman"/>
          <w:sz w:val="24"/>
          <w:szCs w:val="24"/>
        </w:rPr>
        <w:t>Appendix A</w:t>
      </w:r>
    </w:p>
    <w:tbl>
      <w:tblPr>
        <w:tblpPr w:leftFromText="180" w:rightFromText="180" w:vertAnchor="text" w:tblpY="1"/>
        <w:tblOverlap w:val="never"/>
        <w:tblW w:w="6900" w:type="dxa"/>
        <w:tblLook w:val="04A0" w:firstRow="1" w:lastRow="0" w:firstColumn="1" w:lastColumn="0" w:noHBand="0" w:noVBand="1"/>
      </w:tblPr>
      <w:tblGrid>
        <w:gridCol w:w="2680"/>
        <w:gridCol w:w="1511"/>
        <w:gridCol w:w="2709"/>
      </w:tblGrid>
      <w:tr w:rsidR="003959BE" w:rsidRPr="003959BE" w14:paraId="76D6BDBE" w14:textId="77777777" w:rsidTr="00F0509A">
        <w:trPr>
          <w:trHeight w:val="465"/>
        </w:trPr>
        <w:tc>
          <w:tcPr>
            <w:tcW w:w="6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254AA" w14:textId="7B93B4D9" w:rsidR="003959BE" w:rsidRPr="003959BE" w:rsidRDefault="003959BE" w:rsidP="00F0509A">
            <w:pPr>
              <w:spacing w:after="0" w:line="240" w:lineRule="auto"/>
              <w:jc w:val="center"/>
              <w:rPr>
                <w:rFonts w:ascii="Calibri" w:eastAsia="Times New Roman" w:hAnsi="Calibri" w:cs="Calibri"/>
                <w:color w:val="000000"/>
              </w:rPr>
            </w:pPr>
            <w:r w:rsidRPr="003959BE">
              <w:rPr>
                <w:rFonts w:ascii="Calibri" w:eastAsia="Times New Roman" w:hAnsi="Calibri" w:cs="Calibri"/>
                <w:color w:val="000000"/>
              </w:rPr>
              <w:t>Pro Forma Income Statement (thousands of SAR)</w:t>
            </w:r>
          </w:p>
        </w:tc>
      </w:tr>
      <w:tr w:rsidR="003959BE" w:rsidRPr="003959BE" w14:paraId="2D9D0D32" w14:textId="77777777" w:rsidTr="00F0509A">
        <w:trPr>
          <w:trHeight w:val="885"/>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273A26E0" w14:textId="77777777" w:rsidR="003959BE" w:rsidRPr="003959BE" w:rsidRDefault="003959BE" w:rsidP="00F0509A">
            <w:pPr>
              <w:spacing w:after="0" w:line="240" w:lineRule="auto"/>
              <w:jc w:val="center"/>
              <w:rPr>
                <w:rFonts w:ascii="Calibri" w:eastAsia="Times New Roman" w:hAnsi="Calibri" w:cs="Calibri"/>
                <w:color w:val="000000"/>
              </w:rPr>
            </w:pPr>
            <w:r w:rsidRPr="003959BE">
              <w:rPr>
                <w:rFonts w:ascii="Calibri" w:eastAsia="Times New Roman" w:hAnsi="Calibri" w:cs="Calibri"/>
                <w:color w:val="000000"/>
              </w:rPr>
              <w:t> </w:t>
            </w:r>
          </w:p>
        </w:tc>
        <w:tc>
          <w:tcPr>
            <w:tcW w:w="1511" w:type="dxa"/>
            <w:tcBorders>
              <w:top w:val="nil"/>
              <w:left w:val="nil"/>
              <w:bottom w:val="single" w:sz="4" w:space="0" w:color="auto"/>
              <w:right w:val="single" w:sz="4" w:space="0" w:color="auto"/>
            </w:tcBorders>
            <w:shd w:val="clear" w:color="auto" w:fill="auto"/>
            <w:noWrap/>
            <w:vAlign w:val="bottom"/>
            <w:hideMark/>
          </w:tcPr>
          <w:p w14:paraId="7CF214CC" w14:textId="6C8DD4F3"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As at 31/12,</w:t>
            </w:r>
            <w:r>
              <w:rPr>
                <w:rFonts w:ascii="Calibri" w:eastAsia="Times New Roman" w:hAnsi="Calibri" w:cs="Calibri"/>
                <w:color w:val="000000"/>
              </w:rPr>
              <w:t xml:space="preserve"> </w:t>
            </w:r>
            <w:r w:rsidRPr="003959BE">
              <w:rPr>
                <w:rFonts w:ascii="Calibri" w:eastAsia="Times New Roman" w:hAnsi="Calibri" w:cs="Calibri"/>
                <w:color w:val="000000"/>
              </w:rPr>
              <w:t>YR 1</w:t>
            </w:r>
          </w:p>
        </w:tc>
        <w:tc>
          <w:tcPr>
            <w:tcW w:w="2709" w:type="dxa"/>
            <w:tcBorders>
              <w:top w:val="nil"/>
              <w:left w:val="nil"/>
              <w:bottom w:val="single" w:sz="4" w:space="0" w:color="auto"/>
              <w:right w:val="single" w:sz="4" w:space="0" w:color="auto"/>
            </w:tcBorders>
            <w:shd w:val="clear" w:color="auto" w:fill="auto"/>
            <w:vAlign w:val="bottom"/>
            <w:hideMark/>
          </w:tcPr>
          <w:p w14:paraId="6E14C381" w14:textId="4BD22432"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Y2 - applying Constant growth model (8%) = 1.08 *A</w:t>
            </w:r>
          </w:p>
        </w:tc>
      </w:tr>
      <w:tr w:rsidR="003959BE" w:rsidRPr="003959BE" w14:paraId="15779393"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7D100F34"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Sales </w:t>
            </w:r>
          </w:p>
        </w:tc>
        <w:tc>
          <w:tcPr>
            <w:tcW w:w="1511" w:type="dxa"/>
            <w:tcBorders>
              <w:top w:val="nil"/>
              <w:left w:val="nil"/>
              <w:bottom w:val="single" w:sz="4" w:space="0" w:color="auto"/>
              <w:right w:val="single" w:sz="4" w:space="0" w:color="auto"/>
            </w:tcBorders>
            <w:shd w:val="clear" w:color="auto" w:fill="auto"/>
            <w:noWrap/>
            <w:vAlign w:val="bottom"/>
            <w:hideMark/>
          </w:tcPr>
          <w:p w14:paraId="6C242823"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1,800,000 </w:t>
            </w:r>
          </w:p>
        </w:tc>
        <w:tc>
          <w:tcPr>
            <w:tcW w:w="2709" w:type="dxa"/>
            <w:tcBorders>
              <w:top w:val="nil"/>
              <w:left w:val="nil"/>
              <w:bottom w:val="single" w:sz="4" w:space="0" w:color="auto"/>
              <w:right w:val="single" w:sz="4" w:space="0" w:color="auto"/>
            </w:tcBorders>
            <w:shd w:val="clear" w:color="auto" w:fill="auto"/>
            <w:noWrap/>
            <w:vAlign w:val="bottom"/>
            <w:hideMark/>
          </w:tcPr>
          <w:p w14:paraId="4224B66F"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1,944,000 </w:t>
            </w:r>
          </w:p>
        </w:tc>
      </w:tr>
      <w:tr w:rsidR="003959BE" w:rsidRPr="003959BE" w14:paraId="48F60884"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27651A50"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Operating Income</w:t>
            </w:r>
          </w:p>
        </w:tc>
        <w:tc>
          <w:tcPr>
            <w:tcW w:w="1511" w:type="dxa"/>
            <w:tcBorders>
              <w:top w:val="nil"/>
              <w:left w:val="nil"/>
              <w:bottom w:val="single" w:sz="4" w:space="0" w:color="auto"/>
              <w:right w:val="single" w:sz="4" w:space="0" w:color="auto"/>
            </w:tcBorders>
            <w:shd w:val="clear" w:color="auto" w:fill="auto"/>
            <w:noWrap/>
            <w:vAlign w:val="bottom"/>
            <w:hideMark/>
          </w:tcPr>
          <w:p w14:paraId="6CAF3378"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1,639,860 </w:t>
            </w:r>
          </w:p>
        </w:tc>
        <w:tc>
          <w:tcPr>
            <w:tcW w:w="2709" w:type="dxa"/>
            <w:tcBorders>
              <w:top w:val="nil"/>
              <w:left w:val="nil"/>
              <w:bottom w:val="single" w:sz="4" w:space="0" w:color="auto"/>
              <w:right w:val="single" w:sz="4" w:space="0" w:color="auto"/>
            </w:tcBorders>
            <w:shd w:val="clear" w:color="auto" w:fill="auto"/>
            <w:noWrap/>
            <w:vAlign w:val="bottom"/>
            <w:hideMark/>
          </w:tcPr>
          <w:p w14:paraId="18567C94"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1,771,049 </w:t>
            </w:r>
          </w:p>
        </w:tc>
      </w:tr>
      <w:tr w:rsidR="003959BE" w:rsidRPr="003959BE" w14:paraId="27012AA2"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21B1861F"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EBIT</w:t>
            </w:r>
          </w:p>
        </w:tc>
        <w:tc>
          <w:tcPr>
            <w:tcW w:w="1511" w:type="dxa"/>
            <w:tcBorders>
              <w:top w:val="nil"/>
              <w:left w:val="nil"/>
              <w:bottom w:val="single" w:sz="4" w:space="0" w:color="auto"/>
              <w:right w:val="single" w:sz="4" w:space="0" w:color="auto"/>
            </w:tcBorders>
            <w:shd w:val="clear" w:color="auto" w:fill="auto"/>
            <w:noWrap/>
            <w:vAlign w:val="bottom"/>
            <w:hideMark/>
          </w:tcPr>
          <w:p w14:paraId="327328C2"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160,140 </w:t>
            </w:r>
          </w:p>
        </w:tc>
        <w:tc>
          <w:tcPr>
            <w:tcW w:w="2709" w:type="dxa"/>
            <w:tcBorders>
              <w:top w:val="nil"/>
              <w:left w:val="nil"/>
              <w:bottom w:val="single" w:sz="4" w:space="0" w:color="auto"/>
              <w:right w:val="single" w:sz="4" w:space="0" w:color="auto"/>
            </w:tcBorders>
            <w:shd w:val="clear" w:color="auto" w:fill="auto"/>
            <w:noWrap/>
            <w:vAlign w:val="bottom"/>
            <w:hideMark/>
          </w:tcPr>
          <w:p w14:paraId="06EF579F"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172,951 </w:t>
            </w:r>
          </w:p>
        </w:tc>
      </w:tr>
      <w:tr w:rsidR="003959BE" w:rsidRPr="003959BE" w14:paraId="7188E6B2"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72CD4158"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Interest </w:t>
            </w:r>
          </w:p>
        </w:tc>
        <w:tc>
          <w:tcPr>
            <w:tcW w:w="1511" w:type="dxa"/>
            <w:tcBorders>
              <w:top w:val="nil"/>
              <w:left w:val="nil"/>
              <w:bottom w:val="single" w:sz="4" w:space="0" w:color="auto"/>
              <w:right w:val="single" w:sz="4" w:space="0" w:color="auto"/>
            </w:tcBorders>
            <w:shd w:val="clear" w:color="auto" w:fill="auto"/>
            <w:noWrap/>
            <w:vAlign w:val="bottom"/>
            <w:hideMark/>
          </w:tcPr>
          <w:p w14:paraId="4750CB86"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10,140 </w:t>
            </w:r>
          </w:p>
        </w:tc>
        <w:tc>
          <w:tcPr>
            <w:tcW w:w="2709" w:type="dxa"/>
            <w:tcBorders>
              <w:top w:val="nil"/>
              <w:left w:val="nil"/>
              <w:bottom w:val="single" w:sz="4" w:space="0" w:color="auto"/>
              <w:right w:val="single" w:sz="4" w:space="0" w:color="auto"/>
            </w:tcBorders>
            <w:shd w:val="clear" w:color="auto" w:fill="auto"/>
            <w:noWrap/>
            <w:vAlign w:val="bottom"/>
            <w:hideMark/>
          </w:tcPr>
          <w:p w14:paraId="019CA595"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10,951 </w:t>
            </w:r>
          </w:p>
        </w:tc>
      </w:tr>
      <w:tr w:rsidR="003959BE" w:rsidRPr="003959BE" w14:paraId="6A86AE1A"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2C0722E4"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Earnings before taxes </w:t>
            </w:r>
          </w:p>
        </w:tc>
        <w:tc>
          <w:tcPr>
            <w:tcW w:w="1511" w:type="dxa"/>
            <w:tcBorders>
              <w:top w:val="nil"/>
              <w:left w:val="nil"/>
              <w:bottom w:val="single" w:sz="4" w:space="0" w:color="auto"/>
              <w:right w:val="single" w:sz="4" w:space="0" w:color="auto"/>
            </w:tcBorders>
            <w:shd w:val="clear" w:color="auto" w:fill="auto"/>
            <w:noWrap/>
            <w:vAlign w:val="bottom"/>
            <w:hideMark/>
          </w:tcPr>
          <w:p w14:paraId="28D25D52"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150,000 </w:t>
            </w:r>
          </w:p>
        </w:tc>
        <w:tc>
          <w:tcPr>
            <w:tcW w:w="2709" w:type="dxa"/>
            <w:tcBorders>
              <w:top w:val="nil"/>
              <w:left w:val="nil"/>
              <w:bottom w:val="single" w:sz="4" w:space="0" w:color="auto"/>
              <w:right w:val="single" w:sz="4" w:space="0" w:color="auto"/>
            </w:tcBorders>
            <w:shd w:val="clear" w:color="auto" w:fill="auto"/>
            <w:noWrap/>
            <w:vAlign w:val="bottom"/>
            <w:hideMark/>
          </w:tcPr>
          <w:p w14:paraId="2952DA1F"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162,000 </w:t>
            </w:r>
          </w:p>
        </w:tc>
      </w:tr>
      <w:tr w:rsidR="003959BE" w:rsidRPr="003959BE" w14:paraId="60AAB42A"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4BD2094A" w14:textId="57C37166"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Taxes</w:t>
            </w:r>
            <w:r>
              <w:rPr>
                <w:rFonts w:ascii="Calibri" w:eastAsia="Times New Roman" w:hAnsi="Calibri" w:cs="Calibri"/>
                <w:color w:val="000000"/>
              </w:rPr>
              <w:t xml:space="preserve"> </w:t>
            </w:r>
            <w:r w:rsidRPr="003959BE">
              <w:rPr>
                <w:rFonts w:ascii="Calibri" w:eastAsia="Times New Roman" w:hAnsi="Calibri" w:cs="Calibri"/>
                <w:color w:val="000000"/>
              </w:rPr>
              <w:t>(20%)</w:t>
            </w:r>
          </w:p>
        </w:tc>
        <w:tc>
          <w:tcPr>
            <w:tcW w:w="1511" w:type="dxa"/>
            <w:tcBorders>
              <w:top w:val="nil"/>
              <w:left w:val="nil"/>
              <w:bottom w:val="single" w:sz="4" w:space="0" w:color="auto"/>
              <w:right w:val="single" w:sz="4" w:space="0" w:color="auto"/>
            </w:tcBorders>
            <w:shd w:val="clear" w:color="auto" w:fill="auto"/>
            <w:noWrap/>
            <w:vAlign w:val="bottom"/>
            <w:hideMark/>
          </w:tcPr>
          <w:p w14:paraId="53BB40A9"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30,000 </w:t>
            </w:r>
          </w:p>
        </w:tc>
        <w:tc>
          <w:tcPr>
            <w:tcW w:w="2709" w:type="dxa"/>
            <w:tcBorders>
              <w:top w:val="nil"/>
              <w:left w:val="nil"/>
              <w:bottom w:val="single" w:sz="4" w:space="0" w:color="auto"/>
              <w:right w:val="single" w:sz="4" w:space="0" w:color="auto"/>
            </w:tcBorders>
            <w:shd w:val="clear" w:color="auto" w:fill="auto"/>
            <w:noWrap/>
            <w:vAlign w:val="bottom"/>
            <w:hideMark/>
          </w:tcPr>
          <w:p w14:paraId="51AC78FF"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32,400 </w:t>
            </w:r>
          </w:p>
        </w:tc>
      </w:tr>
      <w:tr w:rsidR="003959BE" w:rsidRPr="003959BE" w14:paraId="7BB42DDD"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FCE8DD2"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Net income</w:t>
            </w:r>
          </w:p>
        </w:tc>
        <w:tc>
          <w:tcPr>
            <w:tcW w:w="1511" w:type="dxa"/>
            <w:tcBorders>
              <w:top w:val="nil"/>
              <w:left w:val="nil"/>
              <w:bottom w:val="single" w:sz="4" w:space="0" w:color="auto"/>
              <w:right w:val="single" w:sz="4" w:space="0" w:color="auto"/>
            </w:tcBorders>
            <w:shd w:val="clear" w:color="auto" w:fill="auto"/>
            <w:noWrap/>
            <w:vAlign w:val="bottom"/>
            <w:hideMark/>
          </w:tcPr>
          <w:p w14:paraId="02236D9C"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120,000 </w:t>
            </w:r>
          </w:p>
        </w:tc>
        <w:tc>
          <w:tcPr>
            <w:tcW w:w="2709" w:type="dxa"/>
            <w:tcBorders>
              <w:top w:val="nil"/>
              <w:left w:val="nil"/>
              <w:bottom w:val="single" w:sz="4" w:space="0" w:color="auto"/>
              <w:right w:val="single" w:sz="4" w:space="0" w:color="auto"/>
            </w:tcBorders>
            <w:shd w:val="clear" w:color="auto" w:fill="auto"/>
            <w:noWrap/>
            <w:vAlign w:val="bottom"/>
            <w:hideMark/>
          </w:tcPr>
          <w:p w14:paraId="2430B59E"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129,600 </w:t>
            </w:r>
          </w:p>
        </w:tc>
      </w:tr>
      <w:tr w:rsidR="003959BE" w:rsidRPr="003959BE" w14:paraId="4B5649C0"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4A50625B"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Dividends (60%)</w:t>
            </w:r>
          </w:p>
        </w:tc>
        <w:tc>
          <w:tcPr>
            <w:tcW w:w="1511" w:type="dxa"/>
            <w:tcBorders>
              <w:top w:val="nil"/>
              <w:left w:val="nil"/>
              <w:bottom w:val="single" w:sz="4" w:space="0" w:color="auto"/>
              <w:right w:val="single" w:sz="4" w:space="0" w:color="auto"/>
            </w:tcBorders>
            <w:shd w:val="clear" w:color="auto" w:fill="auto"/>
            <w:noWrap/>
            <w:vAlign w:val="bottom"/>
            <w:hideMark/>
          </w:tcPr>
          <w:p w14:paraId="08DA2CA1"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72,000 </w:t>
            </w:r>
          </w:p>
        </w:tc>
        <w:tc>
          <w:tcPr>
            <w:tcW w:w="2709" w:type="dxa"/>
            <w:tcBorders>
              <w:top w:val="nil"/>
              <w:left w:val="nil"/>
              <w:bottom w:val="single" w:sz="4" w:space="0" w:color="auto"/>
              <w:right w:val="single" w:sz="4" w:space="0" w:color="auto"/>
            </w:tcBorders>
            <w:shd w:val="clear" w:color="auto" w:fill="auto"/>
            <w:noWrap/>
            <w:vAlign w:val="bottom"/>
            <w:hideMark/>
          </w:tcPr>
          <w:p w14:paraId="34EEE1B9"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77,760 </w:t>
            </w:r>
          </w:p>
        </w:tc>
      </w:tr>
      <w:tr w:rsidR="003959BE" w:rsidRPr="003959BE" w14:paraId="56B9D17F" w14:textId="77777777" w:rsidTr="00F0509A">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485838E5"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Addition to retained earnings </w:t>
            </w:r>
          </w:p>
        </w:tc>
        <w:tc>
          <w:tcPr>
            <w:tcW w:w="1511" w:type="dxa"/>
            <w:tcBorders>
              <w:top w:val="nil"/>
              <w:left w:val="nil"/>
              <w:bottom w:val="single" w:sz="4" w:space="0" w:color="auto"/>
              <w:right w:val="single" w:sz="4" w:space="0" w:color="auto"/>
            </w:tcBorders>
            <w:shd w:val="clear" w:color="auto" w:fill="auto"/>
            <w:noWrap/>
            <w:vAlign w:val="bottom"/>
            <w:hideMark/>
          </w:tcPr>
          <w:p w14:paraId="7B8B837A" w14:textId="77777777"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48,000 </w:t>
            </w:r>
          </w:p>
        </w:tc>
        <w:tc>
          <w:tcPr>
            <w:tcW w:w="2709" w:type="dxa"/>
            <w:tcBorders>
              <w:top w:val="nil"/>
              <w:left w:val="nil"/>
              <w:bottom w:val="single" w:sz="4" w:space="0" w:color="auto"/>
              <w:right w:val="single" w:sz="4" w:space="0" w:color="auto"/>
            </w:tcBorders>
            <w:shd w:val="clear" w:color="auto" w:fill="auto"/>
            <w:noWrap/>
            <w:vAlign w:val="bottom"/>
            <w:hideMark/>
          </w:tcPr>
          <w:p w14:paraId="323FDACE" w14:textId="71699864" w:rsidR="003959BE" w:rsidRPr="003959BE" w:rsidRDefault="003959BE" w:rsidP="00F0509A">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w:t>
            </w:r>
            <w:r w:rsidR="00B767A0">
              <w:rPr>
                <w:rFonts w:ascii="Calibri" w:eastAsia="Times New Roman" w:hAnsi="Calibri" w:cs="Calibri"/>
                <w:color w:val="000000"/>
              </w:rPr>
              <w:t>48,000</w:t>
            </w:r>
            <w:r w:rsidRPr="003959BE">
              <w:rPr>
                <w:rFonts w:ascii="Calibri" w:eastAsia="Times New Roman" w:hAnsi="Calibri" w:cs="Calibri"/>
                <w:color w:val="000000"/>
              </w:rPr>
              <w:t xml:space="preserve"> </w:t>
            </w:r>
          </w:p>
        </w:tc>
      </w:tr>
    </w:tbl>
    <w:p w14:paraId="1CF6A682" w14:textId="6E8A829E" w:rsidR="00F0509A" w:rsidRDefault="00F0509A">
      <w:pPr>
        <w:rPr>
          <w:rFonts w:ascii="Times New Roman" w:hAnsi="Times New Roman" w:cs="Times New Roman"/>
          <w:sz w:val="24"/>
          <w:szCs w:val="24"/>
        </w:rPr>
      </w:pPr>
    </w:p>
    <w:p w14:paraId="0CDF4F19" w14:textId="77777777" w:rsidR="00F0509A" w:rsidRPr="00F0509A" w:rsidRDefault="00F0509A" w:rsidP="00F0509A">
      <w:pPr>
        <w:rPr>
          <w:rFonts w:ascii="Times New Roman" w:hAnsi="Times New Roman" w:cs="Times New Roman"/>
          <w:sz w:val="24"/>
          <w:szCs w:val="24"/>
        </w:rPr>
      </w:pPr>
    </w:p>
    <w:p w14:paraId="4DE00BE4" w14:textId="77777777" w:rsidR="00F0509A" w:rsidRPr="00F0509A" w:rsidRDefault="00F0509A" w:rsidP="00F0509A">
      <w:pPr>
        <w:rPr>
          <w:rFonts w:ascii="Times New Roman" w:hAnsi="Times New Roman" w:cs="Times New Roman"/>
          <w:sz w:val="24"/>
          <w:szCs w:val="24"/>
        </w:rPr>
      </w:pPr>
    </w:p>
    <w:p w14:paraId="52C1E74D" w14:textId="29F54206" w:rsidR="00F0509A" w:rsidRDefault="00F0509A">
      <w:pPr>
        <w:rPr>
          <w:rFonts w:ascii="Times New Roman" w:hAnsi="Times New Roman" w:cs="Times New Roman"/>
          <w:sz w:val="24"/>
          <w:szCs w:val="24"/>
        </w:rPr>
      </w:pPr>
    </w:p>
    <w:p w14:paraId="40F2983A" w14:textId="77777777" w:rsidR="003959BE" w:rsidRDefault="00F0509A" w:rsidP="00F0509A">
      <w:pPr>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br w:type="textWrapping" w:clear="all"/>
      </w:r>
    </w:p>
    <w:p w14:paraId="180F47BA" w14:textId="1D3F5BF3" w:rsidR="00FE030F" w:rsidRDefault="00FE030F">
      <w:pPr>
        <w:rPr>
          <w:rFonts w:ascii="Times New Roman" w:hAnsi="Times New Roman" w:cs="Times New Roman"/>
          <w:sz w:val="24"/>
          <w:szCs w:val="24"/>
        </w:rPr>
      </w:pPr>
    </w:p>
    <w:p w14:paraId="22B747A8" w14:textId="57275CFD" w:rsidR="00FE030F" w:rsidRDefault="00FE030F">
      <w:pPr>
        <w:rPr>
          <w:rFonts w:ascii="Times New Roman" w:hAnsi="Times New Roman" w:cs="Times New Roman"/>
          <w:sz w:val="24"/>
          <w:szCs w:val="24"/>
        </w:rPr>
      </w:pPr>
      <w:r>
        <w:rPr>
          <w:rFonts w:ascii="Times New Roman" w:hAnsi="Times New Roman" w:cs="Times New Roman"/>
          <w:sz w:val="24"/>
          <w:szCs w:val="24"/>
        </w:rPr>
        <w:t xml:space="preserve">Retained Earnings (Closing balance) =Opening </w:t>
      </w:r>
      <w:r w:rsidR="006E45E4">
        <w:rPr>
          <w:rFonts w:ascii="Times New Roman" w:hAnsi="Times New Roman" w:cs="Times New Roman"/>
          <w:sz w:val="24"/>
          <w:szCs w:val="24"/>
        </w:rPr>
        <w:t>balance +</w:t>
      </w:r>
      <w:r>
        <w:rPr>
          <w:rFonts w:ascii="Times New Roman" w:hAnsi="Times New Roman" w:cs="Times New Roman"/>
          <w:sz w:val="24"/>
          <w:szCs w:val="24"/>
        </w:rPr>
        <w:t xml:space="preserve"> Net income – Dividends</w:t>
      </w:r>
    </w:p>
    <w:p w14:paraId="045CAD86" w14:textId="228DDECA" w:rsidR="00E97629" w:rsidRDefault="006E45E4">
      <w:pPr>
        <w:rPr>
          <w:rFonts w:ascii="Times New Roman" w:hAnsi="Times New Roman" w:cs="Times New Roman"/>
          <w:sz w:val="24"/>
          <w:szCs w:val="24"/>
        </w:rPr>
      </w:pPr>
      <w:r>
        <w:rPr>
          <w:rFonts w:ascii="Times New Roman" w:hAnsi="Times New Roman" w:cs="Times New Roman"/>
          <w:sz w:val="24"/>
          <w:szCs w:val="24"/>
        </w:rPr>
        <w:lastRenderedPageBreak/>
        <w:t xml:space="preserve">Projected Assets </w:t>
      </w:r>
      <w:r w:rsidR="003959BE">
        <w:rPr>
          <w:rFonts w:ascii="Times New Roman" w:hAnsi="Times New Roman" w:cs="Times New Roman"/>
          <w:sz w:val="24"/>
          <w:szCs w:val="24"/>
        </w:rPr>
        <w:t xml:space="preserve">and liabilities </w:t>
      </w:r>
      <w:r>
        <w:rPr>
          <w:rFonts w:ascii="Times New Roman" w:hAnsi="Times New Roman" w:cs="Times New Roman"/>
          <w:sz w:val="24"/>
          <w:szCs w:val="24"/>
        </w:rPr>
        <w:t>calculated as a percent</w:t>
      </w:r>
      <w:r w:rsidR="00580C07">
        <w:rPr>
          <w:rFonts w:ascii="Times New Roman" w:hAnsi="Times New Roman" w:cs="Times New Roman"/>
          <w:sz w:val="24"/>
          <w:szCs w:val="24"/>
        </w:rPr>
        <w:t xml:space="preserve">age </w:t>
      </w:r>
      <w:r>
        <w:rPr>
          <w:rFonts w:ascii="Times New Roman" w:hAnsi="Times New Roman" w:cs="Times New Roman"/>
          <w:sz w:val="24"/>
          <w:szCs w:val="24"/>
        </w:rPr>
        <w:t xml:space="preserve">of sales </w:t>
      </w:r>
    </w:p>
    <w:tbl>
      <w:tblPr>
        <w:tblW w:w="8273" w:type="dxa"/>
        <w:tblLook w:val="04A0" w:firstRow="1" w:lastRow="0" w:firstColumn="1" w:lastColumn="0" w:noHBand="0" w:noVBand="1"/>
      </w:tblPr>
      <w:tblGrid>
        <w:gridCol w:w="2194"/>
        <w:gridCol w:w="1588"/>
        <w:gridCol w:w="1596"/>
        <w:gridCol w:w="2895"/>
      </w:tblGrid>
      <w:tr w:rsidR="003959BE" w:rsidRPr="003959BE" w14:paraId="51E2ABFE" w14:textId="77777777" w:rsidTr="003959BE">
        <w:trPr>
          <w:trHeight w:val="570"/>
        </w:trPr>
        <w:tc>
          <w:tcPr>
            <w:tcW w:w="827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E1FB7FF" w14:textId="4C00D4F6" w:rsidR="003959BE" w:rsidRPr="003959BE" w:rsidRDefault="003959BE" w:rsidP="003959BE">
            <w:pPr>
              <w:spacing w:after="0" w:line="240" w:lineRule="auto"/>
              <w:jc w:val="center"/>
              <w:rPr>
                <w:rFonts w:ascii="Calibri" w:eastAsia="Times New Roman" w:hAnsi="Calibri" w:cs="Calibri"/>
                <w:color w:val="000000"/>
              </w:rPr>
            </w:pPr>
            <w:r w:rsidRPr="003959BE">
              <w:rPr>
                <w:rFonts w:ascii="Calibri" w:eastAsia="Times New Roman" w:hAnsi="Calibri" w:cs="Calibri"/>
                <w:color w:val="000000"/>
              </w:rPr>
              <w:t>Pro Forma Balance sheet</w:t>
            </w:r>
            <w:r>
              <w:rPr>
                <w:rFonts w:ascii="Calibri" w:eastAsia="Times New Roman" w:hAnsi="Calibri" w:cs="Calibri"/>
                <w:color w:val="000000"/>
              </w:rPr>
              <w:t xml:space="preserve"> </w:t>
            </w:r>
            <w:r w:rsidRPr="003959BE">
              <w:rPr>
                <w:rFonts w:ascii="Calibri" w:eastAsia="Times New Roman" w:hAnsi="Calibri" w:cs="Calibri"/>
                <w:color w:val="000000"/>
              </w:rPr>
              <w:t>(thousands of SAR)</w:t>
            </w:r>
          </w:p>
        </w:tc>
      </w:tr>
      <w:tr w:rsidR="003959BE" w:rsidRPr="003959BE" w14:paraId="156EF1B8" w14:textId="77777777" w:rsidTr="003959BE">
        <w:trPr>
          <w:trHeight w:val="12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7FED20F0"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88" w:type="dxa"/>
            <w:tcBorders>
              <w:top w:val="nil"/>
              <w:left w:val="nil"/>
              <w:bottom w:val="single" w:sz="4" w:space="0" w:color="auto"/>
              <w:right w:val="single" w:sz="4" w:space="0" w:color="auto"/>
            </w:tcBorders>
            <w:shd w:val="clear" w:color="auto" w:fill="auto"/>
            <w:noWrap/>
            <w:vAlign w:val="bottom"/>
            <w:hideMark/>
          </w:tcPr>
          <w:p w14:paraId="47158615"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YR 1(Current)</w:t>
            </w:r>
          </w:p>
        </w:tc>
        <w:tc>
          <w:tcPr>
            <w:tcW w:w="1596" w:type="dxa"/>
            <w:tcBorders>
              <w:top w:val="nil"/>
              <w:left w:val="nil"/>
              <w:bottom w:val="single" w:sz="4" w:space="0" w:color="auto"/>
              <w:right w:val="single" w:sz="4" w:space="0" w:color="auto"/>
            </w:tcBorders>
            <w:shd w:val="clear" w:color="auto" w:fill="auto"/>
            <w:vAlign w:val="bottom"/>
            <w:hideMark/>
          </w:tcPr>
          <w:p w14:paraId="1FC5A6E0"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Projection basis- Average percent of sales (%)</w:t>
            </w:r>
          </w:p>
        </w:tc>
        <w:tc>
          <w:tcPr>
            <w:tcW w:w="2895" w:type="dxa"/>
            <w:tcBorders>
              <w:top w:val="nil"/>
              <w:left w:val="nil"/>
              <w:bottom w:val="single" w:sz="4" w:space="0" w:color="auto"/>
              <w:right w:val="single" w:sz="4" w:space="0" w:color="auto"/>
            </w:tcBorders>
            <w:shd w:val="clear" w:color="auto" w:fill="auto"/>
            <w:noWrap/>
            <w:vAlign w:val="bottom"/>
            <w:hideMark/>
          </w:tcPr>
          <w:p w14:paraId="7C9FB1A5"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YR 2</w:t>
            </w:r>
          </w:p>
        </w:tc>
      </w:tr>
      <w:tr w:rsidR="003959BE" w:rsidRPr="003959BE" w14:paraId="22EFB642"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C3BCD2D"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Assets</w:t>
            </w:r>
          </w:p>
        </w:tc>
        <w:tc>
          <w:tcPr>
            <w:tcW w:w="1588" w:type="dxa"/>
            <w:tcBorders>
              <w:top w:val="nil"/>
              <w:left w:val="nil"/>
              <w:bottom w:val="single" w:sz="4" w:space="0" w:color="auto"/>
              <w:right w:val="single" w:sz="4" w:space="0" w:color="auto"/>
            </w:tcBorders>
            <w:shd w:val="clear" w:color="auto" w:fill="auto"/>
            <w:noWrap/>
            <w:vAlign w:val="bottom"/>
            <w:hideMark/>
          </w:tcPr>
          <w:p w14:paraId="7D3B0D10"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96" w:type="dxa"/>
            <w:tcBorders>
              <w:top w:val="nil"/>
              <w:left w:val="nil"/>
              <w:bottom w:val="single" w:sz="4" w:space="0" w:color="auto"/>
              <w:right w:val="single" w:sz="4" w:space="0" w:color="auto"/>
            </w:tcBorders>
            <w:shd w:val="clear" w:color="auto" w:fill="auto"/>
            <w:noWrap/>
            <w:vAlign w:val="bottom"/>
            <w:hideMark/>
          </w:tcPr>
          <w:p w14:paraId="5D711739"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5694BBA6"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r>
      <w:tr w:rsidR="003959BE" w:rsidRPr="003959BE" w14:paraId="0F808064"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12FCB7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Cash</w:t>
            </w:r>
          </w:p>
        </w:tc>
        <w:tc>
          <w:tcPr>
            <w:tcW w:w="1588" w:type="dxa"/>
            <w:tcBorders>
              <w:top w:val="nil"/>
              <w:left w:val="nil"/>
              <w:bottom w:val="single" w:sz="4" w:space="0" w:color="auto"/>
              <w:right w:val="single" w:sz="4" w:space="0" w:color="auto"/>
            </w:tcBorders>
            <w:shd w:val="clear" w:color="auto" w:fill="auto"/>
            <w:noWrap/>
            <w:vAlign w:val="bottom"/>
            <w:hideMark/>
          </w:tcPr>
          <w:p w14:paraId="019E0EC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90,000 </w:t>
            </w:r>
          </w:p>
        </w:tc>
        <w:tc>
          <w:tcPr>
            <w:tcW w:w="1596" w:type="dxa"/>
            <w:tcBorders>
              <w:top w:val="nil"/>
              <w:left w:val="nil"/>
              <w:bottom w:val="single" w:sz="4" w:space="0" w:color="auto"/>
              <w:right w:val="single" w:sz="4" w:space="0" w:color="auto"/>
            </w:tcBorders>
            <w:shd w:val="clear" w:color="auto" w:fill="auto"/>
            <w:noWrap/>
            <w:vAlign w:val="bottom"/>
            <w:hideMark/>
          </w:tcPr>
          <w:p w14:paraId="27AA44C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5 </w:t>
            </w:r>
          </w:p>
        </w:tc>
        <w:tc>
          <w:tcPr>
            <w:tcW w:w="2895" w:type="dxa"/>
            <w:tcBorders>
              <w:top w:val="nil"/>
              <w:left w:val="nil"/>
              <w:bottom w:val="single" w:sz="4" w:space="0" w:color="auto"/>
              <w:right w:val="single" w:sz="4" w:space="0" w:color="auto"/>
            </w:tcBorders>
            <w:shd w:val="clear" w:color="auto" w:fill="auto"/>
            <w:noWrap/>
            <w:vAlign w:val="bottom"/>
            <w:hideMark/>
          </w:tcPr>
          <w:p w14:paraId="4A1E827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94,500 </w:t>
            </w:r>
          </w:p>
        </w:tc>
      </w:tr>
      <w:tr w:rsidR="003959BE" w:rsidRPr="003959BE" w14:paraId="48312BFC"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4FCA3413"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Receivables</w:t>
            </w:r>
          </w:p>
        </w:tc>
        <w:tc>
          <w:tcPr>
            <w:tcW w:w="1588" w:type="dxa"/>
            <w:tcBorders>
              <w:top w:val="nil"/>
              <w:left w:val="nil"/>
              <w:bottom w:val="single" w:sz="4" w:space="0" w:color="auto"/>
              <w:right w:val="single" w:sz="4" w:space="0" w:color="auto"/>
            </w:tcBorders>
            <w:shd w:val="clear" w:color="auto" w:fill="auto"/>
            <w:noWrap/>
            <w:vAlign w:val="bottom"/>
            <w:hideMark/>
          </w:tcPr>
          <w:p w14:paraId="1B3C9C24"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180,000 </w:t>
            </w:r>
          </w:p>
        </w:tc>
        <w:tc>
          <w:tcPr>
            <w:tcW w:w="1596" w:type="dxa"/>
            <w:tcBorders>
              <w:top w:val="nil"/>
              <w:left w:val="nil"/>
              <w:bottom w:val="single" w:sz="4" w:space="0" w:color="auto"/>
              <w:right w:val="single" w:sz="4" w:space="0" w:color="auto"/>
            </w:tcBorders>
            <w:shd w:val="clear" w:color="auto" w:fill="auto"/>
            <w:noWrap/>
            <w:vAlign w:val="bottom"/>
            <w:hideMark/>
          </w:tcPr>
          <w:p w14:paraId="7F3EBF61"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10 </w:t>
            </w:r>
          </w:p>
        </w:tc>
        <w:tc>
          <w:tcPr>
            <w:tcW w:w="2895" w:type="dxa"/>
            <w:tcBorders>
              <w:top w:val="nil"/>
              <w:left w:val="nil"/>
              <w:bottom w:val="single" w:sz="4" w:space="0" w:color="auto"/>
              <w:right w:val="single" w:sz="4" w:space="0" w:color="auto"/>
            </w:tcBorders>
            <w:shd w:val="clear" w:color="auto" w:fill="auto"/>
            <w:noWrap/>
            <w:vAlign w:val="bottom"/>
            <w:hideMark/>
          </w:tcPr>
          <w:p w14:paraId="2540F62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198,000 </w:t>
            </w:r>
          </w:p>
        </w:tc>
      </w:tr>
      <w:tr w:rsidR="003959BE" w:rsidRPr="003959BE" w14:paraId="3AEAC644"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21714441"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Inventories</w:t>
            </w:r>
          </w:p>
        </w:tc>
        <w:tc>
          <w:tcPr>
            <w:tcW w:w="1588" w:type="dxa"/>
            <w:tcBorders>
              <w:top w:val="nil"/>
              <w:left w:val="nil"/>
              <w:bottom w:val="single" w:sz="4" w:space="0" w:color="auto"/>
              <w:right w:val="single" w:sz="4" w:space="0" w:color="auto"/>
            </w:tcBorders>
            <w:shd w:val="clear" w:color="auto" w:fill="auto"/>
            <w:noWrap/>
            <w:vAlign w:val="bottom"/>
            <w:hideMark/>
          </w:tcPr>
          <w:p w14:paraId="11544610"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360,000 </w:t>
            </w:r>
          </w:p>
        </w:tc>
        <w:tc>
          <w:tcPr>
            <w:tcW w:w="1596" w:type="dxa"/>
            <w:tcBorders>
              <w:top w:val="nil"/>
              <w:left w:val="nil"/>
              <w:bottom w:val="single" w:sz="4" w:space="0" w:color="auto"/>
              <w:right w:val="single" w:sz="4" w:space="0" w:color="auto"/>
            </w:tcBorders>
            <w:shd w:val="clear" w:color="auto" w:fill="auto"/>
            <w:noWrap/>
            <w:vAlign w:val="bottom"/>
            <w:hideMark/>
          </w:tcPr>
          <w:p w14:paraId="69107C1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20 </w:t>
            </w:r>
          </w:p>
        </w:tc>
        <w:tc>
          <w:tcPr>
            <w:tcW w:w="2895" w:type="dxa"/>
            <w:tcBorders>
              <w:top w:val="nil"/>
              <w:left w:val="nil"/>
              <w:bottom w:val="single" w:sz="4" w:space="0" w:color="auto"/>
              <w:right w:val="single" w:sz="4" w:space="0" w:color="auto"/>
            </w:tcBorders>
            <w:shd w:val="clear" w:color="auto" w:fill="auto"/>
            <w:noWrap/>
            <w:vAlign w:val="bottom"/>
            <w:hideMark/>
          </w:tcPr>
          <w:p w14:paraId="3876A6D3"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432,000 </w:t>
            </w:r>
          </w:p>
        </w:tc>
      </w:tr>
      <w:tr w:rsidR="003959BE" w:rsidRPr="003959BE" w14:paraId="60EB76EF"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BC501D5"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Total current assets</w:t>
            </w:r>
          </w:p>
        </w:tc>
        <w:tc>
          <w:tcPr>
            <w:tcW w:w="1588" w:type="dxa"/>
            <w:tcBorders>
              <w:top w:val="nil"/>
              <w:left w:val="nil"/>
              <w:bottom w:val="single" w:sz="4" w:space="0" w:color="auto"/>
              <w:right w:val="single" w:sz="4" w:space="0" w:color="auto"/>
            </w:tcBorders>
            <w:shd w:val="clear" w:color="auto" w:fill="auto"/>
            <w:noWrap/>
            <w:vAlign w:val="bottom"/>
            <w:hideMark/>
          </w:tcPr>
          <w:p w14:paraId="2FE42E22"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630,000 </w:t>
            </w:r>
          </w:p>
        </w:tc>
        <w:tc>
          <w:tcPr>
            <w:tcW w:w="1596" w:type="dxa"/>
            <w:tcBorders>
              <w:top w:val="nil"/>
              <w:left w:val="nil"/>
              <w:bottom w:val="single" w:sz="4" w:space="0" w:color="auto"/>
              <w:right w:val="single" w:sz="4" w:space="0" w:color="auto"/>
            </w:tcBorders>
            <w:shd w:val="clear" w:color="auto" w:fill="auto"/>
            <w:noWrap/>
            <w:vAlign w:val="bottom"/>
            <w:hideMark/>
          </w:tcPr>
          <w:p w14:paraId="5FCA9B73"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35 </w:t>
            </w:r>
          </w:p>
        </w:tc>
        <w:tc>
          <w:tcPr>
            <w:tcW w:w="2895" w:type="dxa"/>
            <w:tcBorders>
              <w:top w:val="nil"/>
              <w:left w:val="nil"/>
              <w:bottom w:val="single" w:sz="4" w:space="0" w:color="auto"/>
              <w:right w:val="single" w:sz="4" w:space="0" w:color="auto"/>
            </w:tcBorders>
            <w:shd w:val="clear" w:color="auto" w:fill="auto"/>
            <w:noWrap/>
            <w:vAlign w:val="bottom"/>
            <w:hideMark/>
          </w:tcPr>
          <w:p w14:paraId="7ABA8774"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724,500 </w:t>
            </w:r>
          </w:p>
        </w:tc>
      </w:tr>
      <w:tr w:rsidR="003959BE" w:rsidRPr="003959BE" w14:paraId="5F2F1ADD"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443E8A29"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Net fixed assets</w:t>
            </w:r>
          </w:p>
        </w:tc>
        <w:tc>
          <w:tcPr>
            <w:tcW w:w="1588" w:type="dxa"/>
            <w:tcBorders>
              <w:top w:val="nil"/>
              <w:left w:val="nil"/>
              <w:bottom w:val="single" w:sz="4" w:space="0" w:color="auto"/>
              <w:right w:val="single" w:sz="4" w:space="0" w:color="auto"/>
            </w:tcBorders>
            <w:shd w:val="clear" w:color="auto" w:fill="auto"/>
            <w:noWrap/>
            <w:vAlign w:val="bottom"/>
            <w:hideMark/>
          </w:tcPr>
          <w:p w14:paraId="2E4730D8"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720,000 </w:t>
            </w:r>
          </w:p>
        </w:tc>
        <w:tc>
          <w:tcPr>
            <w:tcW w:w="1596" w:type="dxa"/>
            <w:tcBorders>
              <w:top w:val="nil"/>
              <w:left w:val="nil"/>
              <w:bottom w:val="single" w:sz="4" w:space="0" w:color="auto"/>
              <w:right w:val="single" w:sz="4" w:space="0" w:color="auto"/>
            </w:tcBorders>
            <w:shd w:val="clear" w:color="auto" w:fill="auto"/>
            <w:noWrap/>
            <w:vAlign w:val="bottom"/>
            <w:hideMark/>
          </w:tcPr>
          <w:p w14:paraId="7C29A229"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No change </w:t>
            </w:r>
          </w:p>
        </w:tc>
        <w:tc>
          <w:tcPr>
            <w:tcW w:w="2895" w:type="dxa"/>
            <w:tcBorders>
              <w:top w:val="nil"/>
              <w:left w:val="nil"/>
              <w:bottom w:val="single" w:sz="4" w:space="0" w:color="auto"/>
              <w:right w:val="single" w:sz="4" w:space="0" w:color="auto"/>
            </w:tcBorders>
            <w:shd w:val="clear" w:color="auto" w:fill="auto"/>
            <w:noWrap/>
            <w:vAlign w:val="bottom"/>
            <w:hideMark/>
          </w:tcPr>
          <w:p w14:paraId="643EFAF9"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720,000 </w:t>
            </w:r>
          </w:p>
        </w:tc>
      </w:tr>
      <w:tr w:rsidR="003959BE" w:rsidRPr="003959BE" w14:paraId="27C5F932"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2D268C85"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Total assets</w:t>
            </w:r>
          </w:p>
        </w:tc>
        <w:tc>
          <w:tcPr>
            <w:tcW w:w="1588" w:type="dxa"/>
            <w:tcBorders>
              <w:top w:val="nil"/>
              <w:left w:val="nil"/>
              <w:bottom w:val="single" w:sz="4" w:space="0" w:color="auto"/>
              <w:right w:val="single" w:sz="4" w:space="0" w:color="auto"/>
            </w:tcBorders>
            <w:shd w:val="clear" w:color="auto" w:fill="auto"/>
            <w:noWrap/>
            <w:vAlign w:val="bottom"/>
            <w:hideMark/>
          </w:tcPr>
          <w:p w14:paraId="3AE983F0"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xml:space="preserve">             1,350,000 </w:t>
            </w:r>
          </w:p>
        </w:tc>
        <w:tc>
          <w:tcPr>
            <w:tcW w:w="1596" w:type="dxa"/>
            <w:tcBorders>
              <w:top w:val="nil"/>
              <w:left w:val="nil"/>
              <w:bottom w:val="single" w:sz="4" w:space="0" w:color="auto"/>
              <w:right w:val="single" w:sz="4" w:space="0" w:color="auto"/>
            </w:tcBorders>
            <w:shd w:val="clear" w:color="auto" w:fill="auto"/>
            <w:noWrap/>
            <w:vAlign w:val="bottom"/>
            <w:hideMark/>
          </w:tcPr>
          <w:p w14:paraId="2B775BD1"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1D0A1B4C"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xml:space="preserve">                                       1,444,500 </w:t>
            </w:r>
          </w:p>
        </w:tc>
      </w:tr>
      <w:tr w:rsidR="003959BE" w:rsidRPr="003959BE" w14:paraId="1B5AC484"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70F5AAA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88" w:type="dxa"/>
            <w:tcBorders>
              <w:top w:val="nil"/>
              <w:left w:val="nil"/>
              <w:bottom w:val="single" w:sz="4" w:space="0" w:color="auto"/>
              <w:right w:val="single" w:sz="4" w:space="0" w:color="auto"/>
            </w:tcBorders>
            <w:shd w:val="clear" w:color="auto" w:fill="auto"/>
            <w:noWrap/>
            <w:vAlign w:val="bottom"/>
            <w:hideMark/>
          </w:tcPr>
          <w:p w14:paraId="1BA1EC45"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96" w:type="dxa"/>
            <w:tcBorders>
              <w:top w:val="nil"/>
              <w:left w:val="nil"/>
              <w:bottom w:val="single" w:sz="4" w:space="0" w:color="auto"/>
              <w:right w:val="single" w:sz="4" w:space="0" w:color="auto"/>
            </w:tcBorders>
            <w:shd w:val="clear" w:color="auto" w:fill="auto"/>
            <w:noWrap/>
            <w:vAlign w:val="bottom"/>
            <w:hideMark/>
          </w:tcPr>
          <w:p w14:paraId="2DF1CDBD"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306E87C1"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r>
      <w:tr w:rsidR="003959BE" w:rsidRPr="003959BE" w14:paraId="696B346D"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0431C7C9"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Liabilities</w:t>
            </w:r>
          </w:p>
        </w:tc>
        <w:tc>
          <w:tcPr>
            <w:tcW w:w="1588" w:type="dxa"/>
            <w:tcBorders>
              <w:top w:val="nil"/>
              <w:left w:val="nil"/>
              <w:bottom w:val="single" w:sz="4" w:space="0" w:color="auto"/>
              <w:right w:val="single" w:sz="4" w:space="0" w:color="auto"/>
            </w:tcBorders>
            <w:shd w:val="clear" w:color="auto" w:fill="auto"/>
            <w:noWrap/>
            <w:vAlign w:val="bottom"/>
            <w:hideMark/>
          </w:tcPr>
          <w:p w14:paraId="04CA169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96" w:type="dxa"/>
            <w:tcBorders>
              <w:top w:val="nil"/>
              <w:left w:val="nil"/>
              <w:bottom w:val="single" w:sz="4" w:space="0" w:color="auto"/>
              <w:right w:val="single" w:sz="4" w:space="0" w:color="auto"/>
            </w:tcBorders>
            <w:shd w:val="clear" w:color="auto" w:fill="auto"/>
            <w:noWrap/>
            <w:vAlign w:val="bottom"/>
            <w:hideMark/>
          </w:tcPr>
          <w:p w14:paraId="57D1EEB5"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2BBF6AA6"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r>
      <w:tr w:rsidR="003959BE" w:rsidRPr="003959BE" w14:paraId="5ACEEF65"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0C7166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Accounts Payable</w:t>
            </w:r>
          </w:p>
        </w:tc>
        <w:tc>
          <w:tcPr>
            <w:tcW w:w="1588" w:type="dxa"/>
            <w:tcBorders>
              <w:top w:val="nil"/>
              <w:left w:val="nil"/>
              <w:bottom w:val="single" w:sz="4" w:space="0" w:color="auto"/>
              <w:right w:val="single" w:sz="4" w:space="0" w:color="auto"/>
            </w:tcBorders>
            <w:shd w:val="clear" w:color="auto" w:fill="auto"/>
            <w:noWrap/>
            <w:vAlign w:val="bottom"/>
            <w:hideMark/>
          </w:tcPr>
          <w:p w14:paraId="00B47C31"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180,000 </w:t>
            </w:r>
          </w:p>
        </w:tc>
        <w:tc>
          <w:tcPr>
            <w:tcW w:w="1596" w:type="dxa"/>
            <w:tcBorders>
              <w:top w:val="nil"/>
              <w:left w:val="nil"/>
              <w:bottom w:val="single" w:sz="4" w:space="0" w:color="auto"/>
              <w:right w:val="single" w:sz="4" w:space="0" w:color="auto"/>
            </w:tcBorders>
            <w:shd w:val="clear" w:color="auto" w:fill="auto"/>
            <w:noWrap/>
            <w:vAlign w:val="bottom"/>
            <w:hideMark/>
          </w:tcPr>
          <w:p w14:paraId="270D0B71"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10 </w:t>
            </w:r>
          </w:p>
        </w:tc>
        <w:tc>
          <w:tcPr>
            <w:tcW w:w="2895" w:type="dxa"/>
            <w:tcBorders>
              <w:top w:val="nil"/>
              <w:left w:val="nil"/>
              <w:bottom w:val="single" w:sz="4" w:space="0" w:color="auto"/>
              <w:right w:val="single" w:sz="4" w:space="0" w:color="auto"/>
            </w:tcBorders>
            <w:shd w:val="clear" w:color="auto" w:fill="auto"/>
            <w:noWrap/>
            <w:vAlign w:val="bottom"/>
            <w:hideMark/>
          </w:tcPr>
          <w:p w14:paraId="3A7CA4E6"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198,000 </w:t>
            </w:r>
          </w:p>
        </w:tc>
      </w:tr>
      <w:tr w:rsidR="003959BE" w:rsidRPr="003959BE" w14:paraId="33A6E635"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4FC2E423"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Notes payable</w:t>
            </w:r>
          </w:p>
        </w:tc>
        <w:tc>
          <w:tcPr>
            <w:tcW w:w="1588" w:type="dxa"/>
            <w:tcBorders>
              <w:top w:val="nil"/>
              <w:left w:val="nil"/>
              <w:bottom w:val="single" w:sz="4" w:space="0" w:color="auto"/>
              <w:right w:val="single" w:sz="4" w:space="0" w:color="auto"/>
            </w:tcBorders>
            <w:shd w:val="clear" w:color="auto" w:fill="auto"/>
            <w:noWrap/>
            <w:vAlign w:val="bottom"/>
            <w:hideMark/>
          </w:tcPr>
          <w:p w14:paraId="02B6E284"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78,000 </w:t>
            </w:r>
          </w:p>
        </w:tc>
        <w:tc>
          <w:tcPr>
            <w:tcW w:w="1596" w:type="dxa"/>
            <w:tcBorders>
              <w:top w:val="nil"/>
              <w:left w:val="nil"/>
              <w:bottom w:val="single" w:sz="4" w:space="0" w:color="auto"/>
              <w:right w:val="single" w:sz="4" w:space="0" w:color="auto"/>
            </w:tcBorders>
            <w:shd w:val="clear" w:color="auto" w:fill="auto"/>
            <w:noWrap/>
            <w:vAlign w:val="bottom"/>
            <w:hideMark/>
          </w:tcPr>
          <w:p w14:paraId="3D1CA697"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4 </w:t>
            </w:r>
          </w:p>
        </w:tc>
        <w:tc>
          <w:tcPr>
            <w:tcW w:w="2895" w:type="dxa"/>
            <w:tcBorders>
              <w:top w:val="nil"/>
              <w:left w:val="nil"/>
              <w:bottom w:val="single" w:sz="4" w:space="0" w:color="auto"/>
              <w:right w:val="single" w:sz="4" w:space="0" w:color="auto"/>
            </w:tcBorders>
            <w:shd w:val="clear" w:color="auto" w:fill="auto"/>
            <w:noWrap/>
            <w:vAlign w:val="bottom"/>
            <w:hideMark/>
          </w:tcPr>
          <w:p w14:paraId="0F2FB106"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81,120 </w:t>
            </w:r>
          </w:p>
        </w:tc>
      </w:tr>
      <w:tr w:rsidR="003959BE" w:rsidRPr="003959BE" w14:paraId="7C0D4D18"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24DA4D7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Accruals</w:t>
            </w:r>
          </w:p>
        </w:tc>
        <w:tc>
          <w:tcPr>
            <w:tcW w:w="1588" w:type="dxa"/>
            <w:tcBorders>
              <w:top w:val="nil"/>
              <w:left w:val="nil"/>
              <w:bottom w:val="single" w:sz="4" w:space="0" w:color="auto"/>
              <w:right w:val="single" w:sz="4" w:space="0" w:color="auto"/>
            </w:tcBorders>
            <w:shd w:val="clear" w:color="auto" w:fill="auto"/>
            <w:noWrap/>
            <w:vAlign w:val="bottom"/>
            <w:hideMark/>
          </w:tcPr>
          <w:p w14:paraId="65DB336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90,000 </w:t>
            </w:r>
          </w:p>
        </w:tc>
        <w:tc>
          <w:tcPr>
            <w:tcW w:w="1596" w:type="dxa"/>
            <w:tcBorders>
              <w:top w:val="nil"/>
              <w:left w:val="nil"/>
              <w:bottom w:val="single" w:sz="4" w:space="0" w:color="auto"/>
              <w:right w:val="single" w:sz="4" w:space="0" w:color="auto"/>
            </w:tcBorders>
            <w:shd w:val="clear" w:color="auto" w:fill="auto"/>
            <w:noWrap/>
            <w:vAlign w:val="bottom"/>
            <w:hideMark/>
          </w:tcPr>
          <w:p w14:paraId="25511BA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5 </w:t>
            </w:r>
          </w:p>
        </w:tc>
        <w:tc>
          <w:tcPr>
            <w:tcW w:w="2895" w:type="dxa"/>
            <w:tcBorders>
              <w:top w:val="nil"/>
              <w:left w:val="nil"/>
              <w:bottom w:val="single" w:sz="4" w:space="0" w:color="auto"/>
              <w:right w:val="single" w:sz="4" w:space="0" w:color="auto"/>
            </w:tcBorders>
            <w:shd w:val="clear" w:color="auto" w:fill="auto"/>
            <w:noWrap/>
            <w:vAlign w:val="bottom"/>
            <w:hideMark/>
          </w:tcPr>
          <w:p w14:paraId="339F29A4"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94,500 </w:t>
            </w:r>
          </w:p>
        </w:tc>
      </w:tr>
      <w:tr w:rsidR="003959BE" w:rsidRPr="003959BE" w14:paraId="1CE197E9"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25538DBA"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Total Current liabilities</w:t>
            </w:r>
          </w:p>
        </w:tc>
        <w:tc>
          <w:tcPr>
            <w:tcW w:w="1588" w:type="dxa"/>
            <w:tcBorders>
              <w:top w:val="nil"/>
              <w:left w:val="nil"/>
              <w:bottom w:val="single" w:sz="4" w:space="0" w:color="auto"/>
              <w:right w:val="single" w:sz="4" w:space="0" w:color="auto"/>
            </w:tcBorders>
            <w:shd w:val="clear" w:color="auto" w:fill="auto"/>
            <w:noWrap/>
            <w:vAlign w:val="bottom"/>
            <w:hideMark/>
          </w:tcPr>
          <w:p w14:paraId="1170E3BA"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xml:space="preserve">                348,000 </w:t>
            </w:r>
          </w:p>
        </w:tc>
        <w:tc>
          <w:tcPr>
            <w:tcW w:w="1596" w:type="dxa"/>
            <w:tcBorders>
              <w:top w:val="nil"/>
              <w:left w:val="nil"/>
              <w:bottom w:val="single" w:sz="4" w:space="0" w:color="auto"/>
              <w:right w:val="single" w:sz="4" w:space="0" w:color="auto"/>
            </w:tcBorders>
            <w:shd w:val="clear" w:color="auto" w:fill="auto"/>
            <w:noWrap/>
            <w:vAlign w:val="bottom"/>
            <w:hideMark/>
          </w:tcPr>
          <w:p w14:paraId="32DD112A"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65E853BE"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xml:space="preserve">                                           373,620 </w:t>
            </w:r>
          </w:p>
        </w:tc>
      </w:tr>
      <w:tr w:rsidR="003959BE" w:rsidRPr="003959BE" w14:paraId="08FFBFF6"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158D911A"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88" w:type="dxa"/>
            <w:tcBorders>
              <w:top w:val="nil"/>
              <w:left w:val="nil"/>
              <w:bottom w:val="single" w:sz="4" w:space="0" w:color="auto"/>
              <w:right w:val="single" w:sz="4" w:space="0" w:color="auto"/>
            </w:tcBorders>
            <w:shd w:val="clear" w:color="auto" w:fill="auto"/>
            <w:noWrap/>
            <w:vAlign w:val="bottom"/>
            <w:hideMark/>
          </w:tcPr>
          <w:p w14:paraId="7304428C"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96" w:type="dxa"/>
            <w:tcBorders>
              <w:top w:val="nil"/>
              <w:left w:val="nil"/>
              <w:bottom w:val="single" w:sz="4" w:space="0" w:color="auto"/>
              <w:right w:val="single" w:sz="4" w:space="0" w:color="auto"/>
            </w:tcBorders>
            <w:shd w:val="clear" w:color="auto" w:fill="auto"/>
            <w:noWrap/>
            <w:vAlign w:val="bottom"/>
            <w:hideMark/>
          </w:tcPr>
          <w:p w14:paraId="0579E63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3082122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r>
      <w:tr w:rsidR="003959BE" w:rsidRPr="003959BE" w14:paraId="74863918"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673E6A8"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Equity</w:t>
            </w:r>
          </w:p>
        </w:tc>
        <w:tc>
          <w:tcPr>
            <w:tcW w:w="1588" w:type="dxa"/>
            <w:tcBorders>
              <w:top w:val="nil"/>
              <w:left w:val="nil"/>
              <w:bottom w:val="single" w:sz="4" w:space="0" w:color="auto"/>
              <w:right w:val="single" w:sz="4" w:space="0" w:color="auto"/>
            </w:tcBorders>
            <w:shd w:val="clear" w:color="auto" w:fill="auto"/>
            <w:noWrap/>
            <w:vAlign w:val="bottom"/>
            <w:hideMark/>
          </w:tcPr>
          <w:p w14:paraId="37648DE7"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1596" w:type="dxa"/>
            <w:tcBorders>
              <w:top w:val="nil"/>
              <w:left w:val="nil"/>
              <w:bottom w:val="single" w:sz="4" w:space="0" w:color="auto"/>
              <w:right w:val="single" w:sz="4" w:space="0" w:color="auto"/>
            </w:tcBorders>
            <w:shd w:val="clear" w:color="auto" w:fill="auto"/>
            <w:noWrap/>
            <w:vAlign w:val="bottom"/>
            <w:hideMark/>
          </w:tcPr>
          <w:p w14:paraId="27A4ACB6"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73829B21"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r>
      <w:tr w:rsidR="003959BE" w:rsidRPr="003959BE" w14:paraId="149D390C"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5C495483"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Common stock</w:t>
            </w:r>
          </w:p>
        </w:tc>
        <w:tc>
          <w:tcPr>
            <w:tcW w:w="1588" w:type="dxa"/>
            <w:tcBorders>
              <w:top w:val="nil"/>
              <w:left w:val="nil"/>
              <w:bottom w:val="single" w:sz="4" w:space="0" w:color="auto"/>
              <w:right w:val="single" w:sz="4" w:space="0" w:color="auto"/>
            </w:tcBorders>
            <w:shd w:val="clear" w:color="auto" w:fill="auto"/>
            <w:noWrap/>
            <w:vAlign w:val="bottom"/>
            <w:hideMark/>
          </w:tcPr>
          <w:p w14:paraId="043C1D1B"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900,000 </w:t>
            </w:r>
          </w:p>
        </w:tc>
        <w:tc>
          <w:tcPr>
            <w:tcW w:w="1596" w:type="dxa"/>
            <w:tcBorders>
              <w:top w:val="nil"/>
              <w:left w:val="nil"/>
              <w:bottom w:val="single" w:sz="4" w:space="0" w:color="auto"/>
              <w:right w:val="single" w:sz="4" w:space="0" w:color="auto"/>
            </w:tcBorders>
            <w:shd w:val="clear" w:color="auto" w:fill="auto"/>
            <w:noWrap/>
            <w:vAlign w:val="bottom"/>
            <w:hideMark/>
          </w:tcPr>
          <w:p w14:paraId="11353D6C"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No change </w:t>
            </w:r>
          </w:p>
        </w:tc>
        <w:tc>
          <w:tcPr>
            <w:tcW w:w="2895" w:type="dxa"/>
            <w:tcBorders>
              <w:top w:val="nil"/>
              <w:left w:val="nil"/>
              <w:bottom w:val="single" w:sz="4" w:space="0" w:color="auto"/>
              <w:right w:val="single" w:sz="4" w:space="0" w:color="auto"/>
            </w:tcBorders>
            <w:shd w:val="clear" w:color="auto" w:fill="auto"/>
            <w:noWrap/>
            <w:vAlign w:val="bottom"/>
            <w:hideMark/>
          </w:tcPr>
          <w:p w14:paraId="42821CF2"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900,000 </w:t>
            </w:r>
          </w:p>
        </w:tc>
      </w:tr>
      <w:tr w:rsidR="003959BE" w:rsidRPr="003959BE" w14:paraId="62C98453"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EA23F9F"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Retained Earnings</w:t>
            </w:r>
          </w:p>
        </w:tc>
        <w:tc>
          <w:tcPr>
            <w:tcW w:w="1588" w:type="dxa"/>
            <w:tcBorders>
              <w:top w:val="nil"/>
              <w:left w:val="nil"/>
              <w:bottom w:val="single" w:sz="4" w:space="0" w:color="auto"/>
              <w:right w:val="single" w:sz="4" w:space="0" w:color="auto"/>
            </w:tcBorders>
            <w:shd w:val="clear" w:color="auto" w:fill="auto"/>
            <w:noWrap/>
            <w:vAlign w:val="bottom"/>
            <w:hideMark/>
          </w:tcPr>
          <w:p w14:paraId="616FB4CA"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102,000 </w:t>
            </w:r>
          </w:p>
        </w:tc>
        <w:tc>
          <w:tcPr>
            <w:tcW w:w="1596" w:type="dxa"/>
            <w:tcBorders>
              <w:top w:val="nil"/>
              <w:left w:val="nil"/>
              <w:bottom w:val="single" w:sz="4" w:space="0" w:color="auto"/>
              <w:right w:val="single" w:sz="4" w:space="0" w:color="auto"/>
            </w:tcBorders>
            <w:shd w:val="clear" w:color="auto" w:fill="auto"/>
            <w:noWrap/>
            <w:vAlign w:val="bottom"/>
            <w:hideMark/>
          </w:tcPr>
          <w:p w14:paraId="1577974E"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27F450B9" w14:textId="77777777" w:rsidR="003959BE" w:rsidRPr="003959BE" w:rsidRDefault="003959BE" w:rsidP="003959BE">
            <w:pPr>
              <w:spacing w:after="0" w:line="240" w:lineRule="auto"/>
              <w:rPr>
                <w:rFonts w:ascii="Calibri" w:eastAsia="Times New Roman" w:hAnsi="Calibri" w:cs="Calibri"/>
                <w:color w:val="000000"/>
              </w:rPr>
            </w:pPr>
            <w:r w:rsidRPr="003959BE">
              <w:rPr>
                <w:rFonts w:ascii="Calibri" w:eastAsia="Times New Roman" w:hAnsi="Calibri" w:cs="Calibri"/>
                <w:color w:val="000000"/>
              </w:rPr>
              <w:t xml:space="preserve">                                           170,880 </w:t>
            </w:r>
          </w:p>
        </w:tc>
      </w:tr>
      <w:tr w:rsidR="003959BE" w:rsidRPr="003959BE" w14:paraId="50258F8C" w14:textId="77777777" w:rsidTr="003959BE">
        <w:trPr>
          <w:trHeight w:val="300"/>
        </w:trPr>
        <w:tc>
          <w:tcPr>
            <w:tcW w:w="2194" w:type="dxa"/>
            <w:tcBorders>
              <w:top w:val="nil"/>
              <w:left w:val="single" w:sz="4" w:space="0" w:color="auto"/>
              <w:bottom w:val="single" w:sz="4" w:space="0" w:color="auto"/>
              <w:right w:val="single" w:sz="4" w:space="0" w:color="auto"/>
            </w:tcBorders>
            <w:shd w:val="clear" w:color="auto" w:fill="auto"/>
            <w:noWrap/>
            <w:vAlign w:val="bottom"/>
            <w:hideMark/>
          </w:tcPr>
          <w:p w14:paraId="67E64A0D"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Total Liabilities &amp;Equity</w:t>
            </w:r>
          </w:p>
        </w:tc>
        <w:tc>
          <w:tcPr>
            <w:tcW w:w="1588" w:type="dxa"/>
            <w:tcBorders>
              <w:top w:val="nil"/>
              <w:left w:val="nil"/>
              <w:bottom w:val="single" w:sz="4" w:space="0" w:color="auto"/>
              <w:right w:val="single" w:sz="4" w:space="0" w:color="auto"/>
            </w:tcBorders>
            <w:shd w:val="clear" w:color="auto" w:fill="auto"/>
            <w:noWrap/>
            <w:vAlign w:val="bottom"/>
            <w:hideMark/>
          </w:tcPr>
          <w:p w14:paraId="08B3D621"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xml:space="preserve">             1,350,000 </w:t>
            </w:r>
          </w:p>
        </w:tc>
        <w:tc>
          <w:tcPr>
            <w:tcW w:w="1596" w:type="dxa"/>
            <w:tcBorders>
              <w:top w:val="nil"/>
              <w:left w:val="nil"/>
              <w:bottom w:val="single" w:sz="4" w:space="0" w:color="auto"/>
              <w:right w:val="single" w:sz="4" w:space="0" w:color="auto"/>
            </w:tcBorders>
            <w:shd w:val="clear" w:color="auto" w:fill="auto"/>
            <w:noWrap/>
            <w:vAlign w:val="bottom"/>
            <w:hideMark/>
          </w:tcPr>
          <w:p w14:paraId="762A57B3"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w:t>
            </w:r>
          </w:p>
        </w:tc>
        <w:tc>
          <w:tcPr>
            <w:tcW w:w="2895" w:type="dxa"/>
            <w:tcBorders>
              <w:top w:val="nil"/>
              <w:left w:val="nil"/>
              <w:bottom w:val="single" w:sz="4" w:space="0" w:color="auto"/>
              <w:right w:val="single" w:sz="4" w:space="0" w:color="auto"/>
            </w:tcBorders>
            <w:shd w:val="clear" w:color="auto" w:fill="auto"/>
            <w:noWrap/>
            <w:vAlign w:val="bottom"/>
            <w:hideMark/>
          </w:tcPr>
          <w:p w14:paraId="51735235" w14:textId="77777777" w:rsidR="003959BE" w:rsidRPr="003959BE" w:rsidRDefault="003959BE" w:rsidP="003959BE">
            <w:pPr>
              <w:spacing w:after="0" w:line="240" w:lineRule="auto"/>
              <w:rPr>
                <w:rFonts w:ascii="Calibri" w:eastAsia="Times New Roman" w:hAnsi="Calibri" w:cs="Calibri"/>
                <w:b/>
                <w:bCs/>
                <w:color w:val="000000"/>
              </w:rPr>
            </w:pPr>
            <w:r w:rsidRPr="003959BE">
              <w:rPr>
                <w:rFonts w:ascii="Calibri" w:eastAsia="Times New Roman" w:hAnsi="Calibri" w:cs="Calibri"/>
                <w:b/>
                <w:bCs/>
                <w:color w:val="000000"/>
              </w:rPr>
              <w:t xml:space="preserve">                                       1,444,500 </w:t>
            </w:r>
          </w:p>
        </w:tc>
      </w:tr>
    </w:tbl>
    <w:p w14:paraId="37A8AE4B" w14:textId="77777777" w:rsidR="003959BE" w:rsidRDefault="003959BE">
      <w:pPr>
        <w:rPr>
          <w:rFonts w:ascii="Times New Roman" w:hAnsi="Times New Roman" w:cs="Times New Roman"/>
          <w:sz w:val="24"/>
          <w:szCs w:val="24"/>
        </w:rPr>
      </w:pPr>
    </w:p>
    <w:p w14:paraId="3EE07070" w14:textId="2661BB18" w:rsidR="00E97629" w:rsidRDefault="00B767A0">
      <w:pPr>
        <w:rPr>
          <w:rFonts w:ascii="Times New Roman" w:hAnsi="Times New Roman" w:cs="Times New Roman"/>
          <w:sz w:val="24"/>
          <w:szCs w:val="24"/>
        </w:rPr>
      </w:pPr>
      <w:r>
        <w:rPr>
          <w:rFonts w:ascii="Times New Roman" w:hAnsi="Times New Roman" w:cs="Times New Roman"/>
          <w:sz w:val="24"/>
          <w:szCs w:val="24"/>
        </w:rPr>
        <w:t xml:space="preserve">To determine External Funding requirement, we subtract company’s projected working capital needs and expenditures from the net income, since we do not have </w:t>
      </w:r>
      <w:r w:rsidR="009F3A53">
        <w:rPr>
          <w:rFonts w:ascii="Times New Roman" w:hAnsi="Times New Roman" w:cs="Times New Roman"/>
          <w:sz w:val="24"/>
          <w:szCs w:val="24"/>
        </w:rPr>
        <w:t>this information,</w:t>
      </w:r>
      <w:r>
        <w:rPr>
          <w:rFonts w:ascii="Times New Roman" w:hAnsi="Times New Roman" w:cs="Times New Roman"/>
          <w:sz w:val="24"/>
          <w:szCs w:val="24"/>
        </w:rPr>
        <w:t xml:space="preserve"> we determine the funding needs. </w:t>
      </w:r>
    </w:p>
    <w:p w14:paraId="09CFB9DA" w14:textId="3D285532" w:rsidR="00B767A0" w:rsidRDefault="003959BE">
      <w:pPr>
        <w:rPr>
          <w:rFonts w:ascii="Times New Roman" w:hAnsi="Times New Roman" w:cs="Times New Roman"/>
          <w:sz w:val="24"/>
          <w:szCs w:val="24"/>
        </w:rPr>
      </w:pPr>
      <w:r>
        <w:rPr>
          <w:rFonts w:ascii="Times New Roman" w:hAnsi="Times New Roman" w:cs="Times New Roman"/>
          <w:sz w:val="24"/>
          <w:szCs w:val="24"/>
        </w:rPr>
        <w:lastRenderedPageBreak/>
        <w:t xml:space="preserve">External Funding </w:t>
      </w:r>
      <w:r w:rsidR="00B767A0">
        <w:rPr>
          <w:rFonts w:ascii="Times New Roman" w:hAnsi="Times New Roman" w:cs="Times New Roman"/>
          <w:sz w:val="24"/>
          <w:szCs w:val="24"/>
        </w:rPr>
        <w:t>Needs</w:t>
      </w:r>
      <w:r>
        <w:rPr>
          <w:rFonts w:ascii="Times New Roman" w:hAnsi="Times New Roman" w:cs="Times New Roman"/>
          <w:sz w:val="24"/>
          <w:szCs w:val="24"/>
        </w:rPr>
        <w:t xml:space="preserve"> = Projected increase in assets – spontaneous increase in liabilities – any increase in retained earnings</w:t>
      </w:r>
      <w:r w:rsidR="00A00DE1">
        <w:rPr>
          <w:rFonts w:ascii="Times New Roman" w:hAnsi="Times New Roman" w:cs="Times New Roman"/>
          <w:sz w:val="24"/>
          <w:szCs w:val="24"/>
        </w:rPr>
        <w:t>,</w:t>
      </w:r>
    </w:p>
    <w:p w14:paraId="268F20C8" w14:textId="0CE3FAB0" w:rsidR="003959BE" w:rsidRDefault="003959BE">
      <w:pPr>
        <w:rPr>
          <w:rFonts w:ascii="Times New Roman" w:hAnsi="Times New Roman" w:cs="Times New Roman"/>
          <w:sz w:val="24"/>
          <w:szCs w:val="24"/>
        </w:rPr>
      </w:pPr>
      <w:r>
        <w:rPr>
          <w:rFonts w:ascii="Times New Roman" w:hAnsi="Times New Roman" w:cs="Times New Roman"/>
          <w:sz w:val="24"/>
          <w:szCs w:val="24"/>
        </w:rPr>
        <w:t>=</w:t>
      </w:r>
      <w:r w:rsidR="00B767A0">
        <w:rPr>
          <w:rFonts w:ascii="Times New Roman" w:hAnsi="Times New Roman" w:cs="Times New Roman"/>
          <w:sz w:val="24"/>
          <w:szCs w:val="24"/>
        </w:rPr>
        <w:t>94500 – 25620- 48000</w:t>
      </w:r>
    </w:p>
    <w:p w14:paraId="2114DB13" w14:textId="03AEA8B6" w:rsidR="00B767A0" w:rsidRDefault="00B767A0">
      <w:pPr>
        <w:rPr>
          <w:rFonts w:ascii="Times New Roman" w:hAnsi="Times New Roman" w:cs="Times New Roman"/>
          <w:sz w:val="24"/>
          <w:szCs w:val="24"/>
        </w:rPr>
      </w:pPr>
      <w:r>
        <w:rPr>
          <w:rFonts w:ascii="Times New Roman" w:hAnsi="Times New Roman" w:cs="Times New Roman"/>
          <w:sz w:val="24"/>
          <w:szCs w:val="24"/>
        </w:rPr>
        <w:t>=20</w:t>
      </w:r>
      <w:r w:rsidR="009F3A53">
        <w:rPr>
          <w:rFonts w:ascii="Times New Roman" w:hAnsi="Times New Roman" w:cs="Times New Roman"/>
          <w:sz w:val="24"/>
          <w:szCs w:val="24"/>
        </w:rPr>
        <w:t>,</w:t>
      </w:r>
      <w:r>
        <w:rPr>
          <w:rFonts w:ascii="Times New Roman" w:hAnsi="Times New Roman" w:cs="Times New Roman"/>
          <w:sz w:val="24"/>
          <w:szCs w:val="24"/>
        </w:rPr>
        <w:t>880</w:t>
      </w:r>
      <w:r w:rsidR="009F3A53">
        <w:rPr>
          <w:rFonts w:ascii="Times New Roman" w:hAnsi="Times New Roman" w:cs="Times New Roman"/>
          <w:sz w:val="24"/>
          <w:szCs w:val="24"/>
        </w:rPr>
        <w:t xml:space="preserve"> (thousands in SAR)</w:t>
      </w:r>
    </w:p>
    <w:p w14:paraId="25578DB9" w14:textId="605B2414" w:rsidR="009F3A53" w:rsidRPr="00260063" w:rsidRDefault="009F3A53">
      <w:pPr>
        <w:rPr>
          <w:rFonts w:ascii="Times New Roman" w:hAnsi="Times New Roman" w:cs="Times New Roman"/>
          <w:b/>
          <w:bCs/>
          <w:sz w:val="24"/>
          <w:szCs w:val="24"/>
        </w:rPr>
      </w:pPr>
      <w:r w:rsidRPr="00260063">
        <w:rPr>
          <w:rFonts w:ascii="Times New Roman" w:hAnsi="Times New Roman" w:cs="Times New Roman"/>
          <w:b/>
          <w:bCs/>
          <w:sz w:val="24"/>
          <w:szCs w:val="24"/>
        </w:rPr>
        <w:t>Conclusion</w:t>
      </w:r>
    </w:p>
    <w:p w14:paraId="5E8B057D" w14:textId="0EE8C517" w:rsidR="009F3A53" w:rsidRDefault="009F3A53">
      <w:pPr>
        <w:rPr>
          <w:rFonts w:ascii="Times New Roman" w:hAnsi="Times New Roman" w:cs="Times New Roman"/>
          <w:sz w:val="24"/>
          <w:szCs w:val="24"/>
        </w:rPr>
      </w:pPr>
      <w:r>
        <w:rPr>
          <w:rFonts w:ascii="Times New Roman" w:hAnsi="Times New Roman" w:cs="Times New Roman"/>
          <w:sz w:val="24"/>
          <w:szCs w:val="24"/>
        </w:rPr>
        <w:t>This is the amount of external funds required that is equal to increase in sales at the optimal level, that is reduced by the increase in liabilities stemming from the financial projection and further reduced by the addition of retained earnings.</w:t>
      </w:r>
    </w:p>
    <w:p w14:paraId="60CD962C" w14:textId="1C4B7746" w:rsidR="000A6877" w:rsidRDefault="000A6877">
      <w:pPr>
        <w:rPr>
          <w:rFonts w:ascii="Times New Roman" w:hAnsi="Times New Roman" w:cs="Times New Roman"/>
          <w:sz w:val="24"/>
          <w:szCs w:val="24"/>
        </w:rPr>
      </w:pPr>
      <w:r>
        <w:rPr>
          <w:rFonts w:ascii="Times New Roman" w:hAnsi="Times New Roman" w:cs="Times New Roman"/>
          <w:sz w:val="24"/>
          <w:szCs w:val="24"/>
        </w:rPr>
        <w:t>Proforma income statement is a projection of income for a period of time in future; estimate of expected revenue, costs, profits, taxes, dividends and other financial items. With this information, the managers can realize the changes in the financial position and performances of the company.</w:t>
      </w:r>
    </w:p>
    <w:p w14:paraId="162B841C" w14:textId="14DA4DCE" w:rsidR="000A6877" w:rsidRDefault="000A6877">
      <w:pPr>
        <w:rPr>
          <w:rFonts w:ascii="Times New Roman" w:hAnsi="Times New Roman" w:cs="Times New Roman"/>
          <w:sz w:val="24"/>
          <w:szCs w:val="24"/>
        </w:rPr>
      </w:pPr>
      <w:r>
        <w:rPr>
          <w:rFonts w:ascii="Times New Roman" w:hAnsi="Times New Roman" w:cs="Times New Roman"/>
          <w:sz w:val="24"/>
          <w:szCs w:val="24"/>
        </w:rPr>
        <w:t>Proforma balance sheet depends on the information available on the income statement together with various schedules and budgets. It’s based on the net worth of the company, liabilities, net investment in each component and the comparison of the projected assets with the total sources of funds.</w:t>
      </w:r>
    </w:p>
    <w:p w14:paraId="1843962F" w14:textId="43A41FD4" w:rsidR="00A00DE1" w:rsidRDefault="00A00DE1" w:rsidP="00A00DE1">
      <w:pPr>
        <w:rPr>
          <w:rFonts w:ascii="Times New Roman" w:hAnsi="Times New Roman" w:cs="Times New Roman"/>
          <w:sz w:val="24"/>
          <w:szCs w:val="24"/>
        </w:rPr>
      </w:pPr>
      <w:r>
        <w:rPr>
          <w:rFonts w:ascii="Times New Roman" w:hAnsi="Times New Roman" w:cs="Times New Roman"/>
          <w:sz w:val="24"/>
          <w:szCs w:val="24"/>
        </w:rPr>
        <w:t xml:space="preserve">From this module, the Pro forma Statements can help with financial budgeting. The operating income for the current year is </w:t>
      </w:r>
      <w:r w:rsidR="005C2F24" w:rsidRPr="003959BE">
        <w:rPr>
          <w:rFonts w:ascii="Times New Roman" w:hAnsi="Times New Roman" w:cs="Times New Roman"/>
          <w:sz w:val="24"/>
          <w:szCs w:val="24"/>
        </w:rPr>
        <w:t>1,639,860</w:t>
      </w:r>
      <w:r w:rsidR="005C2F24" w:rsidRPr="005C2F24">
        <w:rPr>
          <w:rFonts w:ascii="Times New Roman" w:hAnsi="Times New Roman" w:cs="Times New Roman"/>
          <w:sz w:val="24"/>
          <w:szCs w:val="24"/>
        </w:rPr>
        <w:t xml:space="preserve"> while the projected income will be 1,771,049. Hence, when creating a budget for the next year, the additional 131,189 can be split – spending on 70,000 on paying the principal of a loan while adding the rest 61,000 to savings.</w:t>
      </w:r>
    </w:p>
    <w:p w14:paraId="0F6D83F1" w14:textId="77777777" w:rsidR="003F4008" w:rsidRPr="002441CF" w:rsidRDefault="003F4008" w:rsidP="003F4008">
      <w:pPr>
        <w:rPr>
          <w:rFonts w:ascii="Times New Roman" w:hAnsi="Times New Roman" w:cs="Times New Roman"/>
          <w:b/>
          <w:bCs/>
          <w:sz w:val="24"/>
          <w:szCs w:val="24"/>
        </w:rPr>
      </w:pPr>
      <w:r w:rsidRPr="002441CF">
        <w:rPr>
          <w:rFonts w:ascii="Times New Roman" w:hAnsi="Times New Roman" w:cs="Times New Roman"/>
          <w:b/>
          <w:bCs/>
          <w:sz w:val="24"/>
          <w:szCs w:val="24"/>
        </w:rPr>
        <w:t>Part 2</w:t>
      </w:r>
    </w:p>
    <w:p w14:paraId="776B7210" w14:textId="658442A2" w:rsidR="003F4008" w:rsidRDefault="003F4008" w:rsidP="003F4008">
      <w:pPr>
        <w:rPr>
          <w:rFonts w:ascii="Times New Roman" w:eastAsia="Times New Roman" w:hAnsi="Times New Roman" w:cs="Times New Roman"/>
          <w:b/>
          <w:bCs/>
          <w:color w:val="111111"/>
          <w:sz w:val="24"/>
          <w:szCs w:val="24"/>
        </w:rPr>
      </w:pPr>
      <w:r w:rsidRPr="00033F7B">
        <w:rPr>
          <w:rFonts w:ascii="Times New Roman" w:eastAsia="Times New Roman" w:hAnsi="Times New Roman" w:cs="Times New Roman"/>
          <w:b/>
          <w:bCs/>
          <w:color w:val="111111"/>
          <w:sz w:val="24"/>
          <w:szCs w:val="24"/>
        </w:rPr>
        <w:t xml:space="preserve">Trend analysis </w:t>
      </w:r>
    </w:p>
    <w:p w14:paraId="1DFD35F8" w14:textId="0834A7E1" w:rsidR="00033F7B" w:rsidRDefault="00033F7B" w:rsidP="003F4008">
      <w:pPr>
        <w:rPr>
          <w:rFonts w:ascii="Times New Roman" w:eastAsia="Times New Roman" w:hAnsi="Times New Roman" w:cs="Times New Roman"/>
          <w:color w:val="111111"/>
          <w:sz w:val="24"/>
          <w:szCs w:val="24"/>
        </w:rPr>
      </w:pPr>
      <w:r w:rsidRPr="00033F7B">
        <w:rPr>
          <w:rFonts w:ascii="Times New Roman" w:eastAsia="Times New Roman" w:hAnsi="Times New Roman" w:cs="Times New Roman"/>
          <w:color w:val="111111"/>
          <w:sz w:val="24"/>
          <w:szCs w:val="24"/>
        </w:rPr>
        <w:t>It involves collection of financial information from various time periods and plotting the information for further review; this helps to spot actionable patterns</w:t>
      </w:r>
      <w:r w:rsidR="002441CF">
        <w:rPr>
          <w:rFonts w:ascii="Times New Roman" w:eastAsia="Times New Roman" w:hAnsi="Times New Roman" w:cs="Times New Roman"/>
          <w:color w:val="111111"/>
          <w:sz w:val="24"/>
          <w:szCs w:val="24"/>
        </w:rPr>
        <w:t xml:space="preserve">. In the profit and loss statement especially, the revenue and cost information can be plotted on a trend line for multiple periods and examined for any inconsistencies and trends. </w:t>
      </w:r>
    </w:p>
    <w:p w14:paraId="6719256C" w14:textId="435AFCC6" w:rsidR="002441CF" w:rsidRDefault="002441CF" w:rsidP="003F4008">
      <w:p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The revenue and cost function can be used internally </w:t>
      </w:r>
      <w:r w:rsidR="002B4B77">
        <w:rPr>
          <w:rFonts w:ascii="Times New Roman" w:eastAsia="Times New Roman" w:hAnsi="Times New Roman" w:cs="Times New Roman"/>
          <w:color w:val="111111"/>
          <w:sz w:val="24"/>
          <w:szCs w:val="24"/>
        </w:rPr>
        <w:t>by evaluating different patterns;</w:t>
      </w:r>
    </w:p>
    <w:p w14:paraId="172757C4" w14:textId="3988EE23" w:rsidR="002441CF" w:rsidRPr="00D46CAF" w:rsidRDefault="002441CF" w:rsidP="00D46CAF">
      <w:pPr>
        <w:pStyle w:val="ListParagraph"/>
        <w:numPr>
          <w:ilvl w:val="0"/>
          <w:numId w:val="1"/>
        </w:numPr>
        <w:rPr>
          <w:rFonts w:ascii="Times New Roman" w:eastAsia="Times New Roman" w:hAnsi="Times New Roman" w:cs="Times New Roman"/>
          <w:color w:val="111111"/>
          <w:sz w:val="24"/>
          <w:szCs w:val="24"/>
        </w:rPr>
      </w:pPr>
      <w:r w:rsidRPr="00D46CAF">
        <w:rPr>
          <w:rFonts w:ascii="Times New Roman" w:eastAsia="Times New Roman" w:hAnsi="Times New Roman" w:cs="Times New Roman"/>
          <w:color w:val="111111"/>
          <w:sz w:val="24"/>
          <w:szCs w:val="24"/>
        </w:rPr>
        <w:t xml:space="preserve">Examine revenue patterns to determine if sales have been declining or increasing in various regions </w:t>
      </w:r>
    </w:p>
    <w:p w14:paraId="4C33D509" w14:textId="0F27770E" w:rsidR="002441CF" w:rsidRPr="00D46CAF" w:rsidRDefault="002441CF" w:rsidP="00D46CAF">
      <w:pPr>
        <w:pStyle w:val="ListParagraph"/>
        <w:numPr>
          <w:ilvl w:val="0"/>
          <w:numId w:val="1"/>
        </w:numPr>
        <w:rPr>
          <w:rFonts w:ascii="Times New Roman" w:eastAsia="Times New Roman" w:hAnsi="Times New Roman" w:cs="Times New Roman"/>
          <w:color w:val="111111"/>
          <w:sz w:val="24"/>
          <w:szCs w:val="24"/>
        </w:rPr>
      </w:pPr>
      <w:r w:rsidRPr="00D46CAF">
        <w:rPr>
          <w:rFonts w:ascii="Times New Roman" w:eastAsia="Times New Roman" w:hAnsi="Times New Roman" w:cs="Times New Roman"/>
          <w:color w:val="111111"/>
          <w:sz w:val="24"/>
          <w:szCs w:val="24"/>
        </w:rPr>
        <w:t>Examine expense reports and line items to see if there is unusual or exaggerated expenditure in a reporting period that will require adjustment in the future</w:t>
      </w:r>
    </w:p>
    <w:p w14:paraId="780F0310" w14:textId="100094A4" w:rsidR="002441CF" w:rsidRDefault="002441CF" w:rsidP="00D46CAF">
      <w:pPr>
        <w:pStyle w:val="ListParagraph"/>
        <w:numPr>
          <w:ilvl w:val="0"/>
          <w:numId w:val="1"/>
        </w:numPr>
        <w:rPr>
          <w:rFonts w:ascii="Times New Roman" w:eastAsia="Times New Roman" w:hAnsi="Times New Roman" w:cs="Times New Roman"/>
          <w:color w:val="111111"/>
          <w:sz w:val="24"/>
          <w:szCs w:val="24"/>
        </w:rPr>
      </w:pPr>
      <w:r w:rsidRPr="00D46CAF">
        <w:rPr>
          <w:rFonts w:ascii="Times New Roman" w:eastAsia="Times New Roman" w:hAnsi="Times New Roman" w:cs="Times New Roman"/>
          <w:color w:val="111111"/>
          <w:sz w:val="24"/>
          <w:szCs w:val="24"/>
        </w:rPr>
        <w:t>Extend any expense and revenue lines to estimate future profits or losses and hence helping in future budgeting process</w:t>
      </w:r>
    </w:p>
    <w:p w14:paraId="01532309" w14:textId="149FFF0A" w:rsidR="00260063" w:rsidRDefault="00260063" w:rsidP="00D46CAF">
      <w:pPr>
        <w:pStyle w:val="ListParagraph"/>
        <w:numPr>
          <w:ilvl w:val="0"/>
          <w:numId w:val="1"/>
        </w:num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Evaluate each line in the income statement and balance sheet. Trends over several years can be evaluated by calculating trend percentage as the current year divided by the base year.</w:t>
      </w:r>
    </w:p>
    <w:p w14:paraId="5907E492" w14:textId="3E04453B" w:rsidR="002B4B77" w:rsidRDefault="002B4B77" w:rsidP="00D46CAF">
      <w:pPr>
        <w:pStyle w:val="ListParagraph"/>
        <w:numPr>
          <w:ilvl w:val="0"/>
          <w:numId w:val="1"/>
        </w:num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Evaluating gross margins, overhead costs against revenues from robust models.</w:t>
      </w:r>
    </w:p>
    <w:p w14:paraId="44E0B1A3" w14:textId="381B9072" w:rsidR="00415768" w:rsidRDefault="00415768" w:rsidP="00D46CAF">
      <w:pPr>
        <w:pStyle w:val="ListParagraph"/>
        <w:numPr>
          <w:ilvl w:val="0"/>
          <w:numId w:val="1"/>
        </w:num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Signaling investors on any impending price changes that would affect profits and loss</w:t>
      </w:r>
    </w:p>
    <w:p w14:paraId="4B9EC5E3" w14:textId="621E246C" w:rsidR="00415768" w:rsidRDefault="00415768" w:rsidP="00D46CAF">
      <w:pPr>
        <w:pStyle w:val="ListParagraph"/>
        <w:numPr>
          <w:ilvl w:val="0"/>
          <w:numId w:val="1"/>
        </w:num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Identifying the areas of business that are doing well and those that might need to be worked on in the future to mitigate possible losses</w:t>
      </w:r>
    </w:p>
    <w:p w14:paraId="396833ED" w14:textId="77777777" w:rsidR="00415768" w:rsidRPr="00D46CAF" w:rsidRDefault="00415768" w:rsidP="00415768">
      <w:pPr>
        <w:pStyle w:val="ListParagraph"/>
        <w:rPr>
          <w:rFonts w:ascii="Times New Roman" w:eastAsia="Times New Roman" w:hAnsi="Times New Roman" w:cs="Times New Roman"/>
          <w:color w:val="111111"/>
          <w:sz w:val="24"/>
          <w:szCs w:val="24"/>
        </w:rPr>
      </w:pPr>
    </w:p>
    <w:p w14:paraId="6C22E0F5" w14:textId="77777777" w:rsidR="004403B8" w:rsidRDefault="00D46CAF" w:rsidP="003F4008">
      <w:p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For example, in a study a mere decrease or increase in percentage may bring about erroneous results if studied in isolation. If say an increase in current assets was accompanied by an increase in liabilities, then this may be unsatisfactory information to predict the future. </w:t>
      </w:r>
    </w:p>
    <w:p w14:paraId="7003D4E2" w14:textId="4BAAA258" w:rsidR="003F4008" w:rsidRDefault="00D46CAF" w:rsidP="003F4008">
      <w:p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Similarly, an increase in sales may not be followed by an increase in profits if the costs of production have also increased. </w:t>
      </w:r>
    </w:p>
    <w:p w14:paraId="53C19150" w14:textId="23BB5A3C" w:rsidR="00D46CAF" w:rsidRDefault="00D46CAF" w:rsidP="003F4008">
      <w:p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If the base period is carefully selected, and the accounting procedures and conventions used for collecting data and preparation of the statements should be similar</w:t>
      </w:r>
      <w:r w:rsidR="00260063">
        <w:rPr>
          <w:rFonts w:ascii="Times New Roman" w:eastAsia="Times New Roman" w:hAnsi="Times New Roman" w:cs="Times New Roman"/>
          <w:color w:val="111111"/>
          <w:sz w:val="24"/>
          <w:szCs w:val="24"/>
        </w:rPr>
        <w:t xml:space="preserve"> so that the figures are comparable.</w:t>
      </w:r>
    </w:p>
    <w:p w14:paraId="7A90D0B2" w14:textId="20A348DB" w:rsidR="002B4B77" w:rsidRDefault="002B4B77" w:rsidP="003F4008">
      <w:pPr>
        <w:rPr>
          <w:rFonts w:ascii="Times New Roman" w:eastAsia="Times New Roman" w:hAnsi="Times New Roman" w:cs="Times New Roman"/>
          <w:color w:val="111111"/>
          <w:sz w:val="24"/>
          <w:szCs w:val="24"/>
        </w:rPr>
      </w:pPr>
    </w:p>
    <w:p w14:paraId="332ECDB4" w14:textId="1EBDC025" w:rsidR="002B4B77" w:rsidRPr="006E4FFD" w:rsidRDefault="002B4B77" w:rsidP="003F4008">
      <w:pPr>
        <w:rPr>
          <w:rFonts w:ascii="Times New Roman" w:eastAsia="Times New Roman" w:hAnsi="Times New Roman" w:cs="Times New Roman"/>
          <w:b/>
          <w:bCs/>
          <w:color w:val="111111"/>
          <w:sz w:val="24"/>
          <w:szCs w:val="24"/>
        </w:rPr>
      </w:pPr>
      <w:r w:rsidRPr="006E4FFD">
        <w:rPr>
          <w:rFonts w:ascii="Times New Roman" w:eastAsia="Times New Roman" w:hAnsi="Times New Roman" w:cs="Times New Roman"/>
          <w:b/>
          <w:bCs/>
          <w:color w:val="111111"/>
          <w:sz w:val="24"/>
          <w:szCs w:val="24"/>
        </w:rPr>
        <w:t xml:space="preserve">Forecasting Difficulties </w:t>
      </w:r>
      <w:r w:rsidR="006E4FFD" w:rsidRPr="006E4FFD">
        <w:rPr>
          <w:rFonts w:ascii="Times New Roman" w:eastAsia="Times New Roman" w:hAnsi="Times New Roman" w:cs="Times New Roman"/>
          <w:b/>
          <w:bCs/>
          <w:color w:val="111111"/>
          <w:sz w:val="24"/>
          <w:szCs w:val="24"/>
        </w:rPr>
        <w:t>depend on the type of healthcare organization.</w:t>
      </w:r>
    </w:p>
    <w:p w14:paraId="7DB38A50" w14:textId="42CD885A" w:rsidR="00100F08" w:rsidRDefault="00100F08" w:rsidP="003F4008">
      <w:pPr>
        <w:rPr>
          <w:rFonts w:ascii="Times New Roman" w:hAnsi="Times New Roman" w:cs="Times New Roman"/>
          <w:sz w:val="24"/>
          <w:szCs w:val="24"/>
        </w:rPr>
      </w:pPr>
      <w:r>
        <w:rPr>
          <w:rFonts w:ascii="Times New Roman" w:hAnsi="Times New Roman" w:cs="Times New Roman"/>
          <w:sz w:val="24"/>
          <w:szCs w:val="24"/>
        </w:rPr>
        <w:t xml:space="preserve">Forecasting in healthcare organizations is critical for them to keep up with demands of a rapidly changing environment, so that they can plan and implement impactful </w:t>
      </w:r>
      <w:r w:rsidR="00516BC9">
        <w:rPr>
          <w:rFonts w:ascii="Times New Roman" w:hAnsi="Times New Roman" w:cs="Times New Roman"/>
          <w:sz w:val="24"/>
          <w:szCs w:val="24"/>
        </w:rPr>
        <w:t>strategies. The use of proper forecasting tools can help these organizations combat future health situations such as demand for certain health services and needs (</w:t>
      </w:r>
      <w:proofErr w:type="spellStart"/>
      <w:r w:rsidR="00516BC9">
        <w:rPr>
          <w:rFonts w:ascii="Times New Roman" w:hAnsi="Times New Roman" w:cs="Times New Roman"/>
          <w:sz w:val="24"/>
          <w:szCs w:val="24"/>
        </w:rPr>
        <w:t>Soyiri</w:t>
      </w:r>
      <w:proofErr w:type="spellEnd"/>
      <w:r w:rsidR="00516BC9">
        <w:rPr>
          <w:rFonts w:ascii="Times New Roman" w:hAnsi="Times New Roman" w:cs="Times New Roman"/>
          <w:sz w:val="24"/>
          <w:szCs w:val="24"/>
        </w:rPr>
        <w:t xml:space="preserve"> &amp; </w:t>
      </w:r>
      <w:proofErr w:type="spellStart"/>
      <w:r w:rsidR="00516BC9">
        <w:rPr>
          <w:rFonts w:ascii="Times New Roman" w:hAnsi="Times New Roman" w:cs="Times New Roman"/>
          <w:sz w:val="24"/>
          <w:szCs w:val="24"/>
        </w:rPr>
        <w:t>Reidpath</w:t>
      </w:r>
      <w:proofErr w:type="spellEnd"/>
      <w:r w:rsidR="00516BC9">
        <w:rPr>
          <w:rFonts w:ascii="Times New Roman" w:hAnsi="Times New Roman" w:cs="Times New Roman"/>
          <w:sz w:val="24"/>
          <w:szCs w:val="24"/>
        </w:rPr>
        <w:t>, 2013).</w:t>
      </w:r>
    </w:p>
    <w:p w14:paraId="7D95E141" w14:textId="61F4B8C3" w:rsidR="00260063" w:rsidRDefault="00100F08" w:rsidP="003F4008">
      <w:pPr>
        <w:rPr>
          <w:rFonts w:ascii="Times New Roman" w:hAnsi="Times New Roman" w:cs="Times New Roman"/>
          <w:sz w:val="24"/>
          <w:szCs w:val="24"/>
        </w:rPr>
      </w:pPr>
      <w:r w:rsidRPr="00100F08">
        <w:rPr>
          <w:rFonts w:ascii="Times New Roman" w:hAnsi="Times New Roman" w:cs="Times New Roman"/>
          <w:sz w:val="24"/>
          <w:szCs w:val="24"/>
        </w:rPr>
        <w:t xml:space="preserve">Stark, </w:t>
      </w:r>
      <w:proofErr w:type="spellStart"/>
      <w:r w:rsidRPr="00100F08">
        <w:rPr>
          <w:rFonts w:ascii="Times New Roman" w:hAnsi="Times New Roman" w:cs="Times New Roman"/>
          <w:sz w:val="24"/>
          <w:szCs w:val="24"/>
        </w:rPr>
        <w:t>Mould</w:t>
      </w:r>
      <w:proofErr w:type="spellEnd"/>
      <w:r w:rsidRPr="00100F08">
        <w:rPr>
          <w:rFonts w:ascii="Times New Roman" w:hAnsi="Times New Roman" w:cs="Times New Roman"/>
          <w:sz w:val="24"/>
          <w:szCs w:val="24"/>
        </w:rPr>
        <w:t xml:space="preserve">, &amp; </w:t>
      </w:r>
      <w:proofErr w:type="spellStart"/>
      <w:r w:rsidRPr="00100F08">
        <w:rPr>
          <w:rFonts w:ascii="Times New Roman" w:hAnsi="Times New Roman" w:cs="Times New Roman"/>
          <w:sz w:val="24"/>
          <w:szCs w:val="24"/>
        </w:rPr>
        <w:t>Schweikert</w:t>
      </w:r>
      <w:proofErr w:type="spellEnd"/>
      <w:r w:rsidRPr="00100F08">
        <w:rPr>
          <w:rFonts w:ascii="Times New Roman" w:hAnsi="Times New Roman" w:cs="Times New Roman"/>
          <w:sz w:val="24"/>
          <w:szCs w:val="24"/>
        </w:rPr>
        <w:t>,</w:t>
      </w:r>
      <w:r w:rsidR="00516BC9">
        <w:rPr>
          <w:rFonts w:ascii="Times New Roman" w:hAnsi="Times New Roman" w:cs="Times New Roman"/>
          <w:sz w:val="24"/>
          <w:szCs w:val="24"/>
        </w:rPr>
        <w:t xml:space="preserve"> describe forecasting as algorithms that determine future projections based on certain factors i.e. business drivers, influencing factors and other constraints, all of which differ from one type healthcare organization to another. Due to the patient and revenue volume in hospitals, forecasting is even more difficult hence decisions are made according to certain categories, including long range forecasts while the such centers as outpatient, time series for short-range forecasts is enough (Stark et al., 2013). </w:t>
      </w:r>
    </w:p>
    <w:p w14:paraId="04610967" w14:textId="5CFCC8FB" w:rsidR="00516BC9" w:rsidRDefault="000C4C38" w:rsidP="003F4008">
      <w:pPr>
        <w:rPr>
          <w:rFonts w:ascii="Times New Roman" w:hAnsi="Times New Roman" w:cs="Times New Roman"/>
          <w:sz w:val="24"/>
          <w:szCs w:val="24"/>
        </w:rPr>
      </w:pPr>
      <w:r>
        <w:rPr>
          <w:rFonts w:ascii="Times New Roman" w:hAnsi="Times New Roman" w:cs="Times New Roman"/>
          <w:sz w:val="24"/>
          <w:szCs w:val="24"/>
        </w:rPr>
        <w:t>These forecasting difficulties also arise due to differences in organization alignments, scheduling demands, distribution of funding in the various departments and the huge resources required to meet the demand for healthcare services (Armstrong, 2001).</w:t>
      </w:r>
    </w:p>
    <w:p w14:paraId="54EBB251" w14:textId="77777777" w:rsidR="000C4C38" w:rsidRDefault="000C4C38" w:rsidP="000C4C38">
      <w:pP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However, Tetlock and Gardner (2015), recommended that these organizations shouldn’t be overly confident in the data since it could include errors, but rather balance between judgement and decisiveness to avoid forecasting mistakes. </w:t>
      </w:r>
    </w:p>
    <w:p w14:paraId="61226386" w14:textId="727AE9EC" w:rsidR="006547CD" w:rsidRDefault="000C4C38" w:rsidP="003F4008">
      <w:pPr>
        <w:rPr>
          <w:rFonts w:ascii="Times New Roman" w:hAnsi="Times New Roman" w:cs="Times New Roman"/>
          <w:sz w:val="24"/>
          <w:szCs w:val="24"/>
        </w:rPr>
      </w:pPr>
      <w:r>
        <w:rPr>
          <w:rFonts w:ascii="Times New Roman" w:hAnsi="Times New Roman" w:cs="Times New Roman"/>
          <w:sz w:val="24"/>
          <w:szCs w:val="24"/>
        </w:rPr>
        <w:t xml:space="preserve">The methods and ways of </w:t>
      </w:r>
      <w:r w:rsidR="006547CD">
        <w:rPr>
          <w:rFonts w:ascii="Times New Roman" w:hAnsi="Times New Roman" w:cs="Times New Roman"/>
          <w:sz w:val="24"/>
          <w:szCs w:val="24"/>
        </w:rPr>
        <w:t>forecasting</w:t>
      </w:r>
      <w:r>
        <w:rPr>
          <w:rFonts w:ascii="Times New Roman" w:hAnsi="Times New Roman" w:cs="Times New Roman"/>
          <w:sz w:val="24"/>
          <w:szCs w:val="24"/>
        </w:rPr>
        <w:t xml:space="preserve"> differ from one organization to another, what works for one maybe disastrous for another (Kasapoglu, 2016)</w:t>
      </w:r>
      <w:r w:rsidR="00415768">
        <w:rPr>
          <w:rFonts w:ascii="Times New Roman" w:hAnsi="Times New Roman" w:cs="Times New Roman"/>
          <w:sz w:val="24"/>
          <w:szCs w:val="24"/>
        </w:rPr>
        <w:t xml:space="preserve">. Either way, forecasts are hardly perfect </w:t>
      </w:r>
      <w:r w:rsidR="006547CD">
        <w:rPr>
          <w:rFonts w:ascii="Times New Roman" w:hAnsi="Times New Roman" w:cs="Times New Roman"/>
          <w:sz w:val="24"/>
          <w:szCs w:val="24"/>
        </w:rPr>
        <w:t xml:space="preserve">since external factors cannot be controlled or predicted. An example is the Covid-19 pandemic which would otherwise, have affected the forecast. </w:t>
      </w:r>
    </w:p>
    <w:p w14:paraId="706CEFC1" w14:textId="4DBB67E4" w:rsidR="00744478" w:rsidRDefault="00744478" w:rsidP="003F4008">
      <w:pPr>
        <w:rPr>
          <w:rFonts w:ascii="Times New Roman" w:hAnsi="Times New Roman" w:cs="Times New Roman"/>
          <w:sz w:val="24"/>
          <w:szCs w:val="24"/>
        </w:rPr>
      </w:pPr>
      <w:r>
        <w:rPr>
          <w:rFonts w:ascii="Times New Roman" w:hAnsi="Times New Roman" w:cs="Times New Roman"/>
          <w:sz w:val="24"/>
          <w:szCs w:val="24"/>
        </w:rPr>
        <w:t xml:space="preserve">To conclude, </w:t>
      </w:r>
      <w:r w:rsidR="00175659">
        <w:rPr>
          <w:rFonts w:ascii="Times New Roman" w:hAnsi="Times New Roman" w:cs="Times New Roman"/>
          <w:sz w:val="24"/>
          <w:szCs w:val="24"/>
        </w:rPr>
        <w:t xml:space="preserve">trend-based forecasts </w:t>
      </w:r>
      <w:r w:rsidR="006D3ABE">
        <w:rPr>
          <w:rFonts w:ascii="Times New Roman" w:hAnsi="Times New Roman" w:cs="Times New Roman"/>
          <w:sz w:val="24"/>
          <w:szCs w:val="24"/>
        </w:rPr>
        <w:t xml:space="preserve">and ease of doing it- </w:t>
      </w:r>
      <w:r w:rsidR="00175659">
        <w:rPr>
          <w:rFonts w:ascii="Times New Roman" w:hAnsi="Times New Roman" w:cs="Times New Roman"/>
          <w:sz w:val="24"/>
          <w:szCs w:val="24"/>
        </w:rPr>
        <w:t xml:space="preserve">differ from one healthcare organization to another i.e. depending on the vectors of change such as their care delivery models, household </w:t>
      </w:r>
      <w:r w:rsidR="00175659">
        <w:rPr>
          <w:rFonts w:ascii="Times New Roman" w:hAnsi="Times New Roman" w:cs="Times New Roman"/>
          <w:sz w:val="24"/>
          <w:szCs w:val="24"/>
        </w:rPr>
        <w:lastRenderedPageBreak/>
        <w:t>decision making, availability of IT opportunities or Artificial intelligence, consolidations and the organization’s initiatives. The more complex a model is</w:t>
      </w:r>
      <w:r w:rsidR="004705A1">
        <w:rPr>
          <w:rFonts w:ascii="Times New Roman" w:hAnsi="Times New Roman" w:cs="Times New Roman"/>
          <w:sz w:val="24"/>
          <w:szCs w:val="24"/>
        </w:rPr>
        <w:t xml:space="preserve"> and </w:t>
      </w:r>
      <w:r w:rsidR="00175659">
        <w:rPr>
          <w:rFonts w:ascii="Times New Roman" w:hAnsi="Times New Roman" w:cs="Times New Roman"/>
          <w:sz w:val="24"/>
          <w:szCs w:val="24"/>
        </w:rPr>
        <w:t xml:space="preserve">the higher the demand of </w:t>
      </w:r>
      <w:r w:rsidR="004705A1">
        <w:rPr>
          <w:rFonts w:ascii="Times New Roman" w:hAnsi="Times New Roman" w:cs="Times New Roman"/>
          <w:sz w:val="24"/>
          <w:szCs w:val="24"/>
        </w:rPr>
        <w:t>services, then,</w:t>
      </w:r>
      <w:r w:rsidR="00175659">
        <w:rPr>
          <w:rFonts w:ascii="Times New Roman" w:hAnsi="Times New Roman" w:cs="Times New Roman"/>
          <w:sz w:val="24"/>
          <w:szCs w:val="24"/>
        </w:rPr>
        <w:t xml:space="preserve"> the more difficult forecasting gets. However, accuracy and way of forecasting depends entirely on the vectors of change and the relationships between them. As health care changes, so does forecasting approaches.</w:t>
      </w:r>
    </w:p>
    <w:p w14:paraId="5383AC1C" w14:textId="506E95D6" w:rsidR="00175659" w:rsidRDefault="004705A1" w:rsidP="003F4008">
      <w:pPr>
        <w:rPr>
          <w:rFonts w:ascii="Times New Roman" w:hAnsi="Times New Roman" w:cs="Times New Roman"/>
          <w:sz w:val="24"/>
          <w:szCs w:val="24"/>
        </w:rPr>
      </w:pPr>
      <w:r>
        <w:rPr>
          <w:rFonts w:ascii="Times New Roman" w:hAnsi="Times New Roman" w:cs="Times New Roman"/>
          <w:sz w:val="24"/>
          <w:szCs w:val="24"/>
        </w:rPr>
        <w:t>The best way to approach forecasting of a healthcare organization is to set a reasonable bar for precision, monitor accuracy of the projections over time, doing thorough research to determine the impact of predictive models on quality , and contribution of new data sources, involve different perspectives in the forecasting process and understanding the effects of forces of forecast such as technology and delivery methods.</w:t>
      </w:r>
    </w:p>
    <w:p w14:paraId="180802DD" w14:textId="77777777" w:rsidR="00175659" w:rsidRDefault="00175659" w:rsidP="003F4008">
      <w:pPr>
        <w:rPr>
          <w:rFonts w:ascii="Times New Roman" w:hAnsi="Times New Roman" w:cs="Times New Roman"/>
          <w:sz w:val="24"/>
          <w:szCs w:val="24"/>
        </w:rPr>
      </w:pPr>
    </w:p>
    <w:p w14:paraId="5954B0E1" w14:textId="27132C87" w:rsidR="00175659" w:rsidRPr="00175659" w:rsidRDefault="00175659" w:rsidP="003F4008">
      <w:pPr>
        <w:rPr>
          <w:rFonts w:ascii="Times New Roman" w:hAnsi="Times New Roman" w:cs="Times New Roman"/>
          <w:b/>
          <w:bCs/>
          <w:sz w:val="24"/>
          <w:szCs w:val="24"/>
        </w:rPr>
      </w:pPr>
      <w:r w:rsidRPr="00175659">
        <w:rPr>
          <w:rFonts w:ascii="Times New Roman" w:hAnsi="Times New Roman" w:cs="Times New Roman"/>
          <w:b/>
          <w:bCs/>
          <w:sz w:val="24"/>
          <w:szCs w:val="24"/>
        </w:rPr>
        <w:t>The impact a growing population within the Kingdom of Saudi Arabia will have on the ability to forecast utilization of assets (on the Balance Sheet) effectively</w:t>
      </w:r>
    </w:p>
    <w:p w14:paraId="251B4F3B" w14:textId="77777777" w:rsidR="000C4C38" w:rsidRPr="00100F08" w:rsidRDefault="000C4C38" w:rsidP="003F4008">
      <w:pPr>
        <w:rPr>
          <w:rFonts w:ascii="Times New Roman" w:hAnsi="Times New Roman" w:cs="Times New Roman"/>
          <w:sz w:val="24"/>
          <w:szCs w:val="24"/>
        </w:rPr>
      </w:pPr>
    </w:p>
    <w:p w14:paraId="112930A9" w14:textId="5612AA90" w:rsidR="00140037" w:rsidRDefault="00140037" w:rsidP="003F4008">
      <w:pPr>
        <w:rPr>
          <w:rFonts w:ascii="Times New Roman" w:hAnsi="Times New Roman" w:cs="Times New Roman"/>
          <w:sz w:val="24"/>
          <w:szCs w:val="24"/>
        </w:rPr>
      </w:pPr>
      <w:r>
        <w:rPr>
          <w:rFonts w:ascii="Times New Roman" w:hAnsi="Times New Roman" w:cs="Times New Roman"/>
          <w:sz w:val="24"/>
          <w:szCs w:val="24"/>
        </w:rPr>
        <w:t>Saudi Arabia is the largest country in the Arabian Peninsula. It has been going through demographic front changes; from growth, distribution, ageing and to matters fertility (Khalif, 2001). Population growth has been of huge concern since it has implications and created pressure in most of the social sectors- education, health and employment (Collymore,2003).</w:t>
      </w:r>
    </w:p>
    <w:p w14:paraId="252643EF" w14:textId="3AFBF255" w:rsidR="00140037" w:rsidRDefault="00140037" w:rsidP="003F4008">
      <w:pPr>
        <w:rPr>
          <w:rFonts w:ascii="Times New Roman" w:hAnsi="Times New Roman" w:cs="Times New Roman"/>
          <w:sz w:val="24"/>
          <w:szCs w:val="24"/>
        </w:rPr>
      </w:pPr>
      <w:r>
        <w:rPr>
          <w:rFonts w:ascii="Times New Roman" w:hAnsi="Times New Roman" w:cs="Times New Roman"/>
          <w:sz w:val="24"/>
          <w:szCs w:val="24"/>
        </w:rPr>
        <w:t>High population growth is attributed to declining mortality rate and high fertility as a result of ban on import of contraceptives implemented in 1975 and declaration of birth control contrary to the Islamic faith (Winckler,1997).</w:t>
      </w:r>
    </w:p>
    <w:p w14:paraId="6E8C83F0" w14:textId="6EA62DFF" w:rsidR="00140037" w:rsidRDefault="00140037" w:rsidP="003F4008">
      <w:pPr>
        <w:rPr>
          <w:rFonts w:ascii="Times New Roman" w:hAnsi="Times New Roman" w:cs="Times New Roman"/>
          <w:sz w:val="24"/>
          <w:szCs w:val="24"/>
        </w:rPr>
      </w:pPr>
      <w:r>
        <w:rPr>
          <w:rFonts w:ascii="Times New Roman" w:hAnsi="Times New Roman" w:cs="Times New Roman"/>
          <w:sz w:val="24"/>
          <w:szCs w:val="24"/>
        </w:rPr>
        <w:t xml:space="preserve">While assets grow with revenues </w:t>
      </w:r>
      <w:r w:rsidR="000326CF">
        <w:rPr>
          <w:rFonts w:ascii="Times New Roman" w:hAnsi="Times New Roman" w:cs="Times New Roman"/>
          <w:sz w:val="24"/>
          <w:szCs w:val="24"/>
        </w:rPr>
        <w:t>(tied to operations, grows as businesses grow). Even when we cannot straight line the projections, it’s still difficult to forecast accurately due to the growing population. The more the revenue, the more capital spending and purchases of intangibles we can expect to see.</w:t>
      </w:r>
      <w:r w:rsidR="000F7494">
        <w:rPr>
          <w:rFonts w:ascii="Times New Roman" w:hAnsi="Times New Roman" w:cs="Times New Roman"/>
          <w:sz w:val="24"/>
          <w:szCs w:val="24"/>
        </w:rPr>
        <w:t xml:space="preserve"> To forecast a balance sheet, they must make an informed projection of their future financial position especially the assets, to see what they are likely to make use of- such as real estate, finances and </w:t>
      </w:r>
      <w:r w:rsidR="00285DEE">
        <w:rPr>
          <w:rFonts w:ascii="Times New Roman" w:hAnsi="Times New Roman" w:cs="Times New Roman"/>
          <w:sz w:val="24"/>
          <w:szCs w:val="24"/>
        </w:rPr>
        <w:t>equipment/infrastructure</w:t>
      </w:r>
      <w:r w:rsidR="000F7494">
        <w:rPr>
          <w:rFonts w:ascii="Times New Roman" w:hAnsi="Times New Roman" w:cs="Times New Roman"/>
          <w:sz w:val="24"/>
          <w:szCs w:val="24"/>
        </w:rPr>
        <w:t>.</w:t>
      </w:r>
    </w:p>
    <w:p w14:paraId="24BBD365" w14:textId="7FE5670B" w:rsidR="00861A3B" w:rsidRDefault="00861A3B" w:rsidP="003F4008">
      <w:pPr>
        <w:rPr>
          <w:rFonts w:ascii="Times New Roman" w:hAnsi="Times New Roman" w:cs="Times New Roman"/>
          <w:sz w:val="24"/>
          <w:szCs w:val="24"/>
        </w:rPr>
      </w:pPr>
      <w:r>
        <w:rPr>
          <w:rFonts w:ascii="Times New Roman" w:hAnsi="Times New Roman" w:cs="Times New Roman"/>
          <w:sz w:val="24"/>
          <w:szCs w:val="24"/>
        </w:rPr>
        <w:t xml:space="preserve">Growth of population has influenced management of fiscal consolidation and optimization hence better public asset data should be </w:t>
      </w:r>
      <w:r w:rsidR="00B52A8A">
        <w:rPr>
          <w:rFonts w:ascii="Times New Roman" w:hAnsi="Times New Roman" w:cs="Times New Roman"/>
          <w:sz w:val="24"/>
          <w:szCs w:val="24"/>
        </w:rPr>
        <w:t xml:space="preserve">made possible by Saudi’s </w:t>
      </w:r>
      <w:r w:rsidR="00755D14">
        <w:rPr>
          <w:rFonts w:ascii="Times New Roman" w:hAnsi="Times New Roman" w:cs="Times New Roman"/>
          <w:sz w:val="24"/>
          <w:szCs w:val="24"/>
        </w:rPr>
        <w:t>government. It has brought about “Black Swans’- that are indeed independent large draws from the flat distribution hence success in forecasting such draws is unlikely without a crystal ball.</w:t>
      </w:r>
      <w:r w:rsidR="00B52A8A">
        <w:rPr>
          <w:rFonts w:ascii="Times New Roman" w:hAnsi="Times New Roman" w:cs="Times New Roman"/>
          <w:sz w:val="24"/>
          <w:szCs w:val="24"/>
        </w:rPr>
        <w:t xml:space="preserve"> </w:t>
      </w:r>
      <w:r w:rsidR="004403B8">
        <w:rPr>
          <w:rFonts w:ascii="Times New Roman" w:hAnsi="Times New Roman" w:cs="Times New Roman"/>
          <w:sz w:val="24"/>
          <w:szCs w:val="24"/>
        </w:rPr>
        <w:t xml:space="preserve">A proliferation </w:t>
      </w:r>
      <w:r w:rsidR="00755D14">
        <w:rPr>
          <w:rFonts w:ascii="Times New Roman" w:hAnsi="Times New Roman" w:cs="Times New Roman"/>
          <w:sz w:val="24"/>
          <w:szCs w:val="24"/>
        </w:rPr>
        <w:t xml:space="preserve">of “jumps” as measured by bipower variation (Shephard, 2006) results in occurrence of large draws of the projections of assets utilization. </w:t>
      </w:r>
      <w:proofErr w:type="spellStart"/>
      <w:r w:rsidR="00755D14">
        <w:rPr>
          <w:rFonts w:ascii="Times New Roman" w:hAnsi="Times New Roman" w:cs="Times New Roman"/>
          <w:sz w:val="24"/>
          <w:szCs w:val="24"/>
        </w:rPr>
        <w:t>Taleb</w:t>
      </w:r>
      <w:proofErr w:type="spellEnd"/>
      <w:r w:rsidR="00755D14">
        <w:rPr>
          <w:rFonts w:ascii="Times New Roman" w:hAnsi="Times New Roman" w:cs="Times New Roman"/>
          <w:sz w:val="24"/>
          <w:szCs w:val="24"/>
        </w:rPr>
        <w:t xml:space="preserve"> (2009) argues for more robust systems that will ensure effective forecast such as systems with less nodes and less interdependence.</w:t>
      </w:r>
    </w:p>
    <w:p w14:paraId="3BDAB2CB" w14:textId="106BCFD2" w:rsidR="00245CF0" w:rsidRDefault="00245CF0" w:rsidP="00245CF0">
      <w:pPr>
        <w:rPr>
          <w:rFonts w:ascii="Times New Roman" w:hAnsi="Times New Roman" w:cs="Times New Roman"/>
          <w:sz w:val="24"/>
          <w:szCs w:val="24"/>
        </w:rPr>
      </w:pPr>
      <w:r>
        <w:rPr>
          <w:rFonts w:ascii="Times New Roman" w:hAnsi="Times New Roman" w:cs="Times New Roman"/>
          <w:sz w:val="24"/>
          <w:szCs w:val="24"/>
        </w:rPr>
        <w:t xml:space="preserve">Due to the growing population, utilization of assets forecast success requires four things; foster demand for asset information and optimization, prioritizing key asset classes based on fiscal and economic significance, public asset information requirements in whole of the government’s </w:t>
      </w:r>
      <w:r>
        <w:rPr>
          <w:rFonts w:ascii="Times New Roman" w:hAnsi="Times New Roman" w:cs="Times New Roman"/>
          <w:sz w:val="24"/>
          <w:szCs w:val="24"/>
        </w:rPr>
        <w:lastRenderedPageBreak/>
        <w:t>approach of future budgeting planning, and use of new technologies such as sensor data acquisition, and leveraging local and global partnerships.</w:t>
      </w:r>
    </w:p>
    <w:p w14:paraId="1EAF0836" w14:textId="77777777" w:rsidR="00245CF0" w:rsidRDefault="00245CF0" w:rsidP="003F4008">
      <w:pPr>
        <w:rPr>
          <w:rFonts w:ascii="Times New Roman" w:hAnsi="Times New Roman" w:cs="Times New Roman"/>
          <w:sz w:val="24"/>
          <w:szCs w:val="24"/>
        </w:rPr>
      </w:pPr>
    </w:p>
    <w:p w14:paraId="23190E89" w14:textId="6D97E326" w:rsidR="003F4008" w:rsidRDefault="006D3ABE" w:rsidP="003F4008">
      <w:pPr>
        <w:rPr>
          <w:rFonts w:ascii="Times New Roman" w:hAnsi="Times New Roman" w:cs="Times New Roman"/>
          <w:b/>
          <w:bCs/>
          <w:sz w:val="24"/>
          <w:szCs w:val="24"/>
        </w:rPr>
      </w:pPr>
      <w:r>
        <w:rPr>
          <w:rFonts w:ascii="Times New Roman" w:hAnsi="Times New Roman" w:cs="Times New Roman"/>
          <w:b/>
          <w:bCs/>
          <w:sz w:val="24"/>
          <w:szCs w:val="24"/>
        </w:rPr>
        <w:t>F</w:t>
      </w:r>
      <w:r w:rsidRPr="006D3ABE">
        <w:rPr>
          <w:rFonts w:ascii="Times New Roman" w:hAnsi="Times New Roman" w:cs="Times New Roman"/>
          <w:b/>
          <w:bCs/>
          <w:sz w:val="24"/>
          <w:szCs w:val="24"/>
        </w:rPr>
        <w:t>inancial concepts of this course such as revenue payment methods, financial risk, debt, equity, capital acquisition, financial forecasting, and the revenue cycle.</w:t>
      </w:r>
    </w:p>
    <w:p w14:paraId="76F20962" w14:textId="77777777" w:rsidR="006D3ABE" w:rsidRDefault="006D3ABE" w:rsidP="003F4008">
      <w:pPr>
        <w:rPr>
          <w:rFonts w:ascii="Times New Roman" w:hAnsi="Times New Roman" w:cs="Times New Roman"/>
          <w:b/>
          <w:bCs/>
          <w:sz w:val="24"/>
          <w:szCs w:val="24"/>
        </w:rPr>
      </w:pPr>
    </w:p>
    <w:p w14:paraId="35019652" w14:textId="1310569A" w:rsidR="006D3ABE" w:rsidRDefault="00755D14" w:rsidP="003F4008">
      <w:pPr>
        <w:rPr>
          <w:rFonts w:ascii="Times New Roman" w:hAnsi="Times New Roman" w:cs="Times New Roman"/>
          <w:sz w:val="24"/>
          <w:szCs w:val="24"/>
        </w:rPr>
      </w:pPr>
      <w:r w:rsidRPr="00755D14">
        <w:rPr>
          <w:rFonts w:ascii="Times New Roman" w:hAnsi="Times New Roman" w:cs="Times New Roman"/>
          <w:sz w:val="24"/>
          <w:szCs w:val="24"/>
        </w:rPr>
        <w:t xml:space="preserve">Revenue payment methods </w:t>
      </w:r>
    </w:p>
    <w:p w14:paraId="74D704F8" w14:textId="2C35A353" w:rsidR="00245CF0" w:rsidRDefault="00245CF0" w:rsidP="003F4008">
      <w:pPr>
        <w:rPr>
          <w:rFonts w:ascii="Times New Roman" w:hAnsi="Times New Roman" w:cs="Times New Roman"/>
          <w:sz w:val="24"/>
          <w:szCs w:val="24"/>
        </w:rPr>
      </w:pPr>
      <w:r>
        <w:rPr>
          <w:rFonts w:ascii="Times New Roman" w:hAnsi="Times New Roman" w:cs="Times New Roman"/>
          <w:sz w:val="24"/>
          <w:szCs w:val="24"/>
        </w:rPr>
        <w:t xml:space="preserve">Revenue is the value of sales of goods and services recognized over a certain period. It forms the beginning of an income statement. </w:t>
      </w:r>
      <w:r w:rsidR="000A6877">
        <w:rPr>
          <w:rFonts w:ascii="Times New Roman" w:hAnsi="Times New Roman" w:cs="Times New Roman"/>
          <w:sz w:val="24"/>
          <w:szCs w:val="24"/>
        </w:rPr>
        <w:t xml:space="preserve">It can be divided into operating revenue and secondary revenue. </w:t>
      </w:r>
      <w:r w:rsidR="00AF0F30">
        <w:rPr>
          <w:rFonts w:ascii="Times New Roman" w:hAnsi="Times New Roman" w:cs="Times New Roman"/>
          <w:sz w:val="24"/>
          <w:szCs w:val="24"/>
        </w:rPr>
        <w:t>Revenue payment</w:t>
      </w:r>
      <w:r w:rsidR="0029251C">
        <w:rPr>
          <w:rFonts w:ascii="Times New Roman" w:hAnsi="Times New Roman" w:cs="Times New Roman"/>
          <w:sz w:val="24"/>
          <w:szCs w:val="24"/>
        </w:rPr>
        <w:t xml:space="preserve"> are actual payments in cash or recorded revenue expenditures. Examples include amounts paid as rent, or to workers or amount paid to purchase raw materials.</w:t>
      </w:r>
    </w:p>
    <w:p w14:paraId="3BE6B56F" w14:textId="77777777" w:rsidR="0029251C" w:rsidRDefault="0029251C" w:rsidP="003F4008">
      <w:pPr>
        <w:rPr>
          <w:rFonts w:ascii="Times New Roman" w:hAnsi="Times New Roman" w:cs="Times New Roman"/>
          <w:sz w:val="24"/>
          <w:szCs w:val="24"/>
        </w:rPr>
      </w:pPr>
    </w:p>
    <w:p w14:paraId="25B4CE8C" w14:textId="7CC89994" w:rsidR="00AF0F30" w:rsidRDefault="00AF0F30" w:rsidP="003F4008">
      <w:pPr>
        <w:rPr>
          <w:rFonts w:ascii="Times New Roman" w:hAnsi="Times New Roman" w:cs="Times New Roman"/>
          <w:sz w:val="24"/>
          <w:szCs w:val="24"/>
        </w:rPr>
      </w:pPr>
      <w:r>
        <w:rPr>
          <w:rFonts w:ascii="Times New Roman" w:hAnsi="Times New Roman" w:cs="Times New Roman"/>
          <w:sz w:val="24"/>
          <w:szCs w:val="24"/>
        </w:rPr>
        <w:t xml:space="preserve">Financial risk </w:t>
      </w:r>
    </w:p>
    <w:p w14:paraId="19403C21" w14:textId="50C4B1B7" w:rsidR="00AF0F30" w:rsidRDefault="00AF0F30" w:rsidP="003F4008">
      <w:pPr>
        <w:rPr>
          <w:rFonts w:ascii="Times New Roman" w:hAnsi="Times New Roman" w:cs="Times New Roman"/>
          <w:sz w:val="24"/>
          <w:szCs w:val="24"/>
        </w:rPr>
      </w:pPr>
      <w:r>
        <w:rPr>
          <w:rFonts w:ascii="Times New Roman" w:hAnsi="Times New Roman" w:cs="Times New Roman"/>
          <w:sz w:val="24"/>
          <w:szCs w:val="24"/>
        </w:rPr>
        <w:t>This is the risk that involves financial loss to firms. It mostly arises due to instability, and losses in the financial market caused by various factors i.e. market movement in currencies, interest rates or stock prices. There are different types of Financial Risks namely; market, credit. Liquidity, operational and legal risk.</w:t>
      </w:r>
    </w:p>
    <w:p w14:paraId="24E29ABD" w14:textId="77777777" w:rsidR="0029251C" w:rsidRDefault="0029251C" w:rsidP="003F4008">
      <w:pPr>
        <w:rPr>
          <w:rFonts w:ascii="Times New Roman" w:hAnsi="Times New Roman" w:cs="Times New Roman"/>
          <w:sz w:val="24"/>
          <w:szCs w:val="24"/>
        </w:rPr>
      </w:pPr>
    </w:p>
    <w:p w14:paraId="28532056" w14:textId="77777777" w:rsidR="00AF0F30" w:rsidRDefault="00AF0F30" w:rsidP="003F4008">
      <w:pPr>
        <w:rPr>
          <w:rFonts w:ascii="Times New Roman" w:hAnsi="Times New Roman" w:cs="Times New Roman"/>
          <w:sz w:val="24"/>
          <w:szCs w:val="24"/>
        </w:rPr>
      </w:pPr>
      <w:r>
        <w:rPr>
          <w:rFonts w:ascii="Times New Roman" w:hAnsi="Times New Roman" w:cs="Times New Roman"/>
          <w:sz w:val="24"/>
          <w:szCs w:val="24"/>
        </w:rPr>
        <w:t>Debt</w:t>
      </w:r>
    </w:p>
    <w:p w14:paraId="36B8B34F" w14:textId="5F3F9340" w:rsidR="00AF0F30" w:rsidRDefault="00AF0F30" w:rsidP="003F4008">
      <w:pPr>
        <w:rPr>
          <w:rFonts w:ascii="Times New Roman" w:hAnsi="Times New Roman" w:cs="Times New Roman"/>
          <w:sz w:val="24"/>
          <w:szCs w:val="24"/>
        </w:rPr>
      </w:pPr>
      <w:r>
        <w:rPr>
          <w:rFonts w:ascii="Times New Roman" w:hAnsi="Times New Roman" w:cs="Times New Roman"/>
          <w:sz w:val="24"/>
          <w:szCs w:val="24"/>
        </w:rPr>
        <w:t xml:space="preserve"> This is the amount of money borrowed by one party from another. A debt arrangement gives the borrowing party permission to borrow under certain conditions but most importantly, that the money is paid back at a later date, with interest. Debt financing happens when a company raises money by selling debt instruments to investors.</w:t>
      </w:r>
    </w:p>
    <w:p w14:paraId="2500E581" w14:textId="78DBF77F" w:rsidR="00AF0F30" w:rsidRDefault="00AF0F30" w:rsidP="003F4008">
      <w:pPr>
        <w:rPr>
          <w:rFonts w:ascii="Times New Roman" w:hAnsi="Times New Roman" w:cs="Times New Roman"/>
          <w:sz w:val="24"/>
          <w:szCs w:val="24"/>
        </w:rPr>
      </w:pPr>
      <w:r>
        <w:rPr>
          <w:rFonts w:ascii="Times New Roman" w:hAnsi="Times New Roman" w:cs="Times New Roman"/>
          <w:sz w:val="24"/>
          <w:szCs w:val="24"/>
        </w:rPr>
        <w:t xml:space="preserve">To find </w:t>
      </w:r>
      <w:r w:rsidR="002D680C">
        <w:rPr>
          <w:rFonts w:ascii="Times New Roman" w:hAnsi="Times New Roman" w:cs="Times New Roman"/>
          <w:sz w:val="24"/>
          <w:szCs w:val="24"/>
        </w:rPr>
        <w:t>a company’s total debt = short term debts + long term obligations</w:t>
      </w:r>
    </w:p>
    <w:p w14:paraId="29B2BBB3" w14:textId="0F13F8F0" w:rsidR="002D680C" w:rsidRDefault="002D680C" w:rsidP="003F4008">
      <w:pPr>
        <w:rPr>
          <w:rFonts w:ascii="Times New Roman" w:hAnsi="Times New Roman" w:cs="Times New Roman"/>
          <w:sz w:val="24"/>
          <w:szCs w:val="24"/>
        </w:rPr>
      </w:pPr>
      <w:r>
        <w:rPr>
          <w:rFonts w:ascii="Times New Roman" w:hAnsi="Times New Roman" w:cs="Times New Roman"/>
          <w:sz w:val="24"/>
          <w:szCs w:val="24"/>
        </w:rPr>
        <w:t xml:space="preserve">Net debt = cash + cash equivalents </w:t>
      </w:r>
    </w:p>
    <w:p w14:paraId="0C41BB8C" w14:textId="77777777" w:rsidR="0029251C" w:rsidRDefault="0029251C" w:rsidP="003F4008">
      <w:pPr>
        <w:rPr>
          <w:rFonts w:ascii="Times New Roman" w:hAnsi="Times New Roman" w:cs="Times New Roman"/>
          <w:sz w:val="24"/>
          <w:szCs w:val="24"/>
        </w:rPr>
      </w:pPr>
    </w:p>
    <w:p w14:paraId="140FE0EA" w14:textId="29037943" w:rsidR="00AF0F30" w:rsidRDefault="00AF0F30" w:rsidP="003F4008">
      <w:pPr>
        <w:rPr>
          <w:rFonts w:ascii="Times New Roman" w:hAnsi="Times New Roman" w:cs="Times New Roman"/>
          <w:sz w:val="24"/>
          <w:szCs w:val="24"/>
        </w:rPr>
      </w:pPr>
      <w:r>
        <w:rPr>
          <w:rFonts w:ascii="Times New Roman" w:hAnsi="Times New Roman" w:cs="Times New Roman"/>
          <w:sz w:val="24"/>
          <w:szCs w:val="24"/>
        </w:rPr>
        <w:t>Equity</w:t>
      </w:r>
    </w:p>
    <w:p w14:paraId="054FD43D" w14:textId="6E135A34" w:rsidR="00AF0F30" w:rsidRDefault="00AF0F30" w:rsidP="003F4008">
      <w:pPr>
        <w:rPr>
          <w:rFonts w:ascii="Times New Roman" w:hAnsi="Times New Roman" w:cs="Times New Roman"/>
          <w:sz w:val="24"/>
          <w:szCs w:val="24"/>
        </w:rPr>
      </w:pPr>
      <w:r>
        <w:rPr>
          <w:rFonts w:ascii="Times New Roman" w:hAnsi="Times New Roman" w:cs="Times New Roman"/>
          <w:sz w:val="24"/>
          <w:szCs w:val="24"/>
        </w:rPr>
        <w:t>This represents an ownership stake in a company. It gives a shareholder claims on future earnings of the company but does not need to be paid back. If and when a company goes bankrupt, equity</w:t>
      </w:r>
      <w:r w:rsidR="002D680C">
        <w:rPr>
          <w:rFonts w:ascii="Times New Roman" w:hAnsi="Times New Roman" w:cs="Times New Roman"/>
          <w:sz w:val="24"/>
          <w:szCs w:val="24"/>
        </w:rPr>
        <w:t xml:space="preserve"> </w:t>
      </w:r>
      <w:r>
        <w:rPr>
          <w:rFonts w:ascii="Times New Roman" w:hAnsi="Times New Roman" w:cs="Times New Roman"/>
          <w:sz w:val="24"/>
          <w:szCs w:val="24"/>
        </w:rPr>
        <w:t>holders are last to receive money.</w:t>
      </w:r>
    </w:p>
    <w:p w14:paraId="77787C6A" w14:textId="418277E6" w:rsidR="002D680C" w:rsidRDefault="002D680C" w:rsidP="003F4008">
      <w:pPr>
        <w:rPr>
          <w:rFonts w:ascii="Times New Roman" w:hAnsi="Times New Roman" w:cs="Times New Roman"/>
          <w:sz w:val="24"/>
          <w:szCs w:val="24"/>
        </w:rPr>
      </w:pPr>
      <w:r>
        <w:rPr>
          <w:rFonts w:ascii="Times New Roman" w:hAnsi="Times New Roman" w:cs="Times New Roman"/>
          <w:sz w:val="24"/>
          <w:szCs w:val="24"/>
        </w:rPr>
        <w:t xml:space="preserve">Shareholders’ equity = Total assets of a firm – Total </w:t>
      </w:r>
      <w:r w:rsidR="0029251C">
        <w:rPr>
          <w:rFonts w:ascii="Times New Roman" w:hAnsi="Times New Roman" w:cs="Times New Roman"/>
          <w:sz w:val="24"/>
          <w:szCs w:val="24"/>
        </w:rPr>
        <w:t>liabilities or</w:t>
      </w:r>
      <w:r>
        <w:rPr>
          <w:rFonts w:ascii="Times New Roman" w:hAnsi="Times New Roman" w:cs="Times New Roman"/>
          <w:sz w:val="24"/>
          <w:szCs w:val="24"/>
        </w:rPr>
        <w:t xml:space="preserve"> sum of share capital and Retained earnings minus Treasury shares </w:t>
      </w:r>
    </w:p>
    <w:p w14:paraId="390BA70A" w14:textId="77777777" w:rsidR="0029251C" w:rsidRDefault="0029251C" w:rsidP="003F4008">
      <w:pPr>
        <w:rPr>
          <w:rFonts w:ascii="Times New Roman" w:hAnsi="Times New Roman" w:cs="Times New Roman"/>
          <w:sz w:val="24"/>
          <w:szCs w:val="24"/>
        </w:rPr>
      </w:pPr>
    </w:p>
    <w:p w14:paraId="47883A55" w14:textId="77777777" w:rsidR="0029251C" w:rsidRDefault="0029251C" w:rsidP="003F4008">
      <w:pPr>
        <w:rPr>
          <w:rFonts w:ascii="Times New Roman" w:hAnsi="Times New Roman" w:cs="Times New Roman"/>
          <w:sz w:val="24"/>
          <w:szCs w:val="24"/>
        </w:rPr>
      </w:pPr>
    </w:p>
    <w:p w14:paraId="1D2C68BC" w14:textId="7C64F141" w:rsidR="002D680C" w:rsidRDefault="002D680C" w:rsidP="003F4008">
      <w:pPr>
        <w:rPr>
          <w:rFonts w:ascii="Times New Roman" w:hAnsi="Times New Roman" w:cs="Times New Roman"/>
          <w:sz w:val="24"/>
          <w:szCs w:val="24"/>
        </w:rPr>
      </w:pPr>
      <w:r>
        <w:rPr>
          <w:rFonts w:ascii="Times New Roman" w:hAnsi="Times New Roman" w:cs="Times New Roman"/>
          <w:sz w:val="24"/>
          <w:szCs w:val="24"/>
        </w:rPr>
        <w:t>Capital acquisition</w:t>
      </w:r>
    </w:p>
    <w:p w14:paraId="62788069" w14:textId="63FB6A7D" w:rsidR="002D680C" w:rsidRDefault="002D680C" w:rsidP="003F4008">
      <w:pPr>
        <w:rPr>
          <w:rFonts w:ascii="Times New Roman" w:hAnsi="Times New Roman" w:cs="Times New Roman"/>
          <w:sz w:val="24"/>
          <w:szCs w:val="24"/>
        </w:rPr>
      </w:pPr>
      <w:r>
        <w:rPr>
          <w:rFonts w:ascii="Times New Roman" w:hAnsi="Times New Roman" w:cs="Times New Roman"/>
          <w:sz w:val="24"/>
          <w:szCs w:val="24"/>
        </w:rPr>
        <w:t xml:space="preserve">This is the capital to acquire other assets such as equipment, inventory or software. Capital acquisition serves to grow the profits of a business. </w:t>
      </w:r>
    </w:p>
    <w:p w14:paraId="3F312244" w14:textId="301E1694" w:rsidR="002D680C" w:rsidRDefault="002D680C" w:rsidP="003F4008">
      <w:pPr>
        <w:rPr>
          <w:rFonts w:ascii="Times New Roman" w:hAnsi="Times New Roman" w:cs="Times New Roman"/>
          <w:sz w:val="24"/>
          <w:szCs w:val="24"/>
        </w:rPr>
      </w:pPr>
      <w:r>
        <w:rPr>
          <w:rFonts w:ascii="Times New Roman" w:hAnsi="Times New Roman" w:cs="Times New Roman"/>
          <w:sz w:val="24"/>
          <w:szCs w:val="24"/>
        </w:rPr>
        <w:t>Capital Acquisition ratio is given by = (cash flow from operations – dividends)/ cash paid for acquisitions. It reflects firms’ ability to finance capital expenditures internally.</w:t>
      </w:r>
    </w:p>
    <w:p w14:paraId="0D54F7AC" w14:textId="508C6970" w:rsidR="002D680C" w:rsidRDefault="002D680C" w:rsidP="003F4008">
      <w:pPr>
        <w:rPr>
          <w:rFonts w:ascii="Times New Roman" w:hAnsi="Times New Roman" w:cs="Times New Roman"/>
          <w:sz w:val="24"/>
          <w:szCs w:val="24"/>
        </w:rPr>
      </w:pPr>
      <w:r>
        <w:rPr>
          <w:rFonts w:ascii="Times New Roman" w:hAnsi="Times New Roman" w:cs="Times New Roman"/>
          <w:sz w:val="24"/>
          <w:szCs w:val="24"/>
        </w:rPr>
        <w:t xml:space="preserve">Financial forecasting </w:t>
      </w:r>
    </w:p>
    <w:p w14:paraId="5E76287E" w14:textId="711A44E3" w:rsidR="00755D14" w:rsidRDefault="002D680C" w:rsidP="003F4008">
      <w:pPr>
        <w:rPr>
          <w:rFonts w:ascii="Times New Roman" w:hAnsi="Times New Roman" w:cs="Times New Roman"/>
          <w:sz w:val="24"/>
          <w:szCs w:val="24"/>
        </w:rPr>
      </w:pPr>
      <w:r>
        <w:rPr>
          <w:rFonts w:ascii="Times New Roman" w:hAnsi="Times New Roman" w:cs="Times New Roman"/>
          <w:sz w:val="24"/>
          <w:szCs w:val="24"/>
        </w:rPr>
        <w:t>This is estimating how a business will perform in the near future. Technique that uses historical data as inputs to make informed financial projections. There are various financial forecasting methods such as quantitative methods i.e</w:t>
      </w:r>
      <w:r w:rsidR="0029251C">
        <w:rPr>
          <w:rFonts w:ascii="Times New Roman" w:hAnsi="Times New Roman" w:cs="Times New Roman"/>
          <w:sz w:val="24"/>
          <w:szCs w:val="24"/>
        </w:rPr>
        <w:t>.</w:t>
      </w:r>
      <w:r>
        <w:rPr>
          <w:rFonts w:ascii="Times New Roman" w:hAnsi="Times New Roman" w:cs="Times New Roman"/>
          <w:sz w:val="24"/>
          <w:szCs w:val="24"/>
        </w:rPr>
        <w:t xml:space="preserve"> straight line, moving average, time series and linear regression. Qualitative forecasting methods are market research and </w:t>
      </w:r>
      <w:proofErr w:type="spellStart"/>
      <w:r>
        <w:rPr>
          <w:rFonts w:ascii="Times New Roman" w:hAnsi="Times New Roman" w:cs="Times New Roman"/>
          <w:sz w:val="24"/>
          <w:szCs w:val="24"/>
        </w:rPr>
        <w:t>delphi</w:t>
      </w:r>
      <w:proofErr w:type="spellEnd"/>
      <w:r>
        <w:rPr>
          <w:rFonts w:ascii="Times New Roman" w:hAnsi="Times New Roman" w:cs="Times New Roman"/>
          <w:sz w:val="24"/>
          <w:szCs w:val="24"/>
        </w:rPr>
        <w:t xml:space="preserve"> method.</w:t>
      </w:r>
    </w:p>
    <w:p w14:paraId="17D1A351" w14:textId="77777777" w:rsidR="0029251C" w:rsidRPr="0029251C" w:rsidRDefault="0029251C" w:rsidP="003F4008">
      <w:pPr>
        <w:rPr>
          <w:rFonts w:ascii="Times New Roman" w:hAnsi="Times New Roman" w:cs="Times New Roman"/>
          <w:sz w:val="24"/>
          <w:szCs w:val="24"/>
        </w:rPr>
      </w:pPr>
    </w:p>
    <w:p w14:paraId="09044841" w14:textId="477CA279" w:rsidR="0029251C" w:rsidRDefault="0029251C" w:rsidP="003F4008">
      <w:pPr>
        <w:rPr>
          <w:rFonts w:ascii="Times New Roman" w:hAnsi="Times New Roman" w:cs="Times New Roman"/>
          <w:sz w:val="24"/>
          <w:szCs w:val="24"/>
        </w:rPr>
      </w:pPr>
      <w:r>
        <w:rPr>
          <w:rFonts w:ascii="Times New Roman" w:hAnsi="Times New Roman" w:cs="Times New Roman"/>
          <w:sz w:val="24"/>
          <w:szCs w:val="24"/>
        </w:rPr>
        <w:t>Revenue cycle</w:t>
      </w:r>
    </w:p>
    <w:p w14:paraId="1371D3DA" w14:textId="760D6EEA" w:rsidR="0029251C" w:rsidRDefault="0029251C" w:rsidP="003F4008">
      <w:pPr>
        <w:rPr>
          <w:rFonts w:ascii="Times New Roman" w:hAnsi="Times New Roman" w:cs="Times New Roman"/>
          <w:sz w:val="24"/>
          <w:szCs w:val="24"/>
        </w:rPr>
      </w:pPr>
      <w:r>
        <w:rPr>
          <w:rFonts w:ascii="Times New Roman" w:hAnsi="Times New Roman" w:cs="Times New Roman"/>
          <w:sz w:val="24"/>
          <w:szCs w:val="24"/>
        </w:rPr>
        <w:t>It refers to the journey of a product of a service from its beginning to its sale. The cycle begins when the business delivers a product or provides a service, to when the customer makes the full payment. For example, in health care companies, the revenue cycle is only complete once the payment from both the patient and insurance company has been received.</w:t>
      </w:r>
    </w:p>
    <w:p w14:paraId="606BF015" w14:textId="77777777" w:rsidR="006E4FFD" w:rsidRDefault="006E4FFD" w:rsidP="003F4008">
      <w:pPr>
        <w:rPr>
          <w:rFonts w:ascii="Times New Roman" w:hAnsi="Times New Roman" w:cs="Times New Roman"/>
          <w:b/>
          <w:bCs/>
          <w:sz w:val="24"/>
          <w:szCs w:val="24"/>
        </w:rPr>
      </w:pPr>
    </w:p>
    <w:p w14:paraId="49BFA654" w14:textId="77777777" w:rsidR="006E4FFD" w:rsidRDefault="006E4FFD" w:rsidP="003F4008">
      <w:pPr>
        <w:rPr>
          <w:rFonts w:ascii="Times New Roman" w:hAnsi="Times New Roman" w:cs="Times New Roman"/>
          <w:b/>
          <w:bCs/>
          <w:sz w:val="24"/>
          <w:szCs w:val="24"/>
        </w:rPr>
      </w:pPr>
    </w:p>
    <w:p w14:paraId="783643C8" w14:textId="77777777" w:rsidR="006E4FFD" w:rsidRDefault="006E4FFD" w:rsidP="003F4008">
      <w:pPr>
        <w:rPr>
          <w:rFonts w:ascii="Times New Roman" w:hAnsi="Times New Roman" w:cs="Times New Roman"/>
          <w:b/>
          <w:bCs/>
          <w:sz w:val="24"/>
          <w:szCs w:val="24"/>
        </w:rPr>
      </w:pPr>
    </w:p>
    <w:p w14:paraId="46D71D42" w14:textId="77777777" w:rsidR="006E4FFD" w:rsidRDefault="006E4FFD" w:rsidP="003F4008">
      <w:pPr>
        <w:rPr>
          <w:rFonts w:ascii="Times New Roman" w:hAnsi="Times New Roman" w:cs="Times New Roman"/>
          <w:b/>
          <w:bCs/>
          <w:sz w:val="24"/>
          <w:szCs w:val="24"/>
        </w:rPr>
      </w:pPr>
    </w:p>
    <w:p w14:paraId="662D21B0" w14:textId="77777777" w:rsidR="006E4FFD" w:rsidRDefault="006E4FFD" w:rsidP="003F4008">
      <w:pPr>
        <w:rPr>
          <w:rFonts w:ascii="Times New Roman" w:hAnsi="Times New Roman" w:cs="Times New Roman"/>
          <w:b/>
          <w:bCs/>
          <w:sz w:val="24"/>
          <w:szCs w:val="24"/>
        </w:rPr>
      </w:pPr>
    </w:p>
    <w:p w14:paraId="79216E9F" w14:textId="77777777" w:rsidR="006E4FFD" w:rsidRDefault="006E4FFD" w:rsidP="003F4008">
      <w:pPr>
        <w:rPr>
          <w:rFonts w:ascii="Times New Roman" w:hAnsi="Times New Roman" w:cs="Times New Roman"/>
          <w:b/>
          <w:bCs/>
          <w:sz w:val="24"/>
          <w:szCs w:val="24"/>
        </w:rPr>
      </w:pPr>
    </w:p>
    <w:p w14:paraId="469405EE" w14:textId="77777777" w:rsidR="006E4FFD" w:rsidRDefault="006E4FFD" w:rsidP="003F4008">
      <w:pPr>
        <w:rPr>
          <w:rFonts w:ascii="Times New Roman" w:hAnsi="Times New Roman" w:cs="Times New Roman"/>
          <w:b/>
          <w:bCs/>
          <w:sz w:val="24"/>
          <w:szCs w:val="24"/>
        </w:rPr>
      </w:pPr>
    </w:p>
    <w:p w14:paraId="1DBD4B30" w14:textId="77777777" w:rsidR="006E4FFD" w:rsidRDefault="006E4FFD" w:rsidP="003F4008">
      <w:pPr>
        <w:rPr>
          <w:rFonts w:ascii="Times New Roman" w:hAnsi="Times New Roman" w:cs="Times New Roman"/>
          <w:b/>
          <w:bCs/>
          <w:sz w:val="24"/>
          <w:szCs w:val="24"/>
        </w:rPr>
      </w:pPr>
    </w:p>
    <w:p w14:paraId="770C5979" w14:textId="77777777" w:rsidR="006E4FFD" w:rsidRDefault="006E4FFD" w:rsidP="003F4008">
      <w:pPr>
        <w:rPr>
          <w:rFonts w:ascii="Times New Roman" w:hAnsi="Times New Roman" w:cs="Times New Roman"/>
          <w:b/>
          <w:bCs/>
          <w:sz w:val="24"/>
          <w:szCs w:val="24"/>
        </w:rPr>
      </w:pPr>
    </w:p>
    <w:p w14:paraId="1336D8BE" w14:textId="77777777" w:rsidR="006E4FFD" w:rsidRDefault="006E4FFD" w:rsidP="003F4008">
      <w:pPr>
        <w:rPr>
          <w:rFonts w:ascii="Times New Roman" w:hAnsi="Times New Roman" w:cs="Times New Roman"/>
          <w:b/>
          <w:bCs/>
          <w:sz w:val="24"/>
          <w:szCs w:val="24"/>
        </w:rPr>
      </w:pPr>
    </w:p>
    <w:p w14:paraId="4F8986AA" w14:textId="77777777" w:rsidR="006E4FFD" w:rsidRDefault="006E4FFD" w:rsidP="003F4008">
      <w:pPr>
        <w:rPr>
          <w:rFonts w:ascii="Times New Roman" w:hAnsi="Times New Roman" w:cs="Times New Roman"/>
          <w:b/>
          <w:bCs/>
          <w:sz w:val="24"/>
          <w:szCs w:val="24"/>
        </w:rPr>
      </w:pPr>
    </w:p>
    <w:p w14:paraId="1F4CA51B" w14:textId="77777777" w:rsidR="006E4FFD" w:rsidRDefault="006E4FFD" w:rsidP="003F4008">
      <w:pPr>
        <w:rPr>
          <w:rFonts w:ascii="Times New Roman" w:hAnsi="Times New Roman" w:cs="Times New Roman"/>
          <w:b/>
          <w:bCs/>
          <w:sz w:val="24"/>
          <w:szCs w:val="24"/>
        </w:rPr>
      </w:pPr>
    </w:p>
    <w:p w14:paraId="5EFD371F" w14:textId="77777777" w:rsidR="006D3ABE" w:rsidRDefault="006D3ABE" w:rsidP="003F4008">
      <w:pPr>
        <w:rPr>
          <w:rFonts w:ascii="Times New Roman" w:hAnsi="Times New Roman" w:cs="Times New Roman"/>
          <w:b/>
          <w:bCs/>
          <w:sz w:val="24"/>
          <w:szCs w:val="24"/>
        </w:rPr>
      </w:pPr>
    </w:p>
    <w:p w14:paraId="03D310F8" w14:textId="77777777" w:rsidR="006D3ABE" w:rsidRDefault="006D3ABE" w:rsidP="003F4008">
      <w:pPr>
        <w:rPr>
          <w:rFonts w:ascii="Times New Roman" w:hAnsi="Times New Roman" w:cs="Times New Roman"/>
          <w:b/>
          <w:bCs/>
          <w:sz w:val="24"/>
          <w:szCs w:val="24"/>
        </w:rPr>
      </w:pPr>
    </w:p>
    <w:p w14:paraId="27226560" w14:textId="77777777" w:rsidR="006D3ABE" w:rsidRDefault="006D3ABE" w:rsidP="003F4008">
      <w:pPr>
        <w:rPr>
          <w:rFonts w:ascii="Times New Roman" w:hAnsi="Times New Roman" w:cs="Times New Roman"/>
          <w:b/>
          <w:bCs/>
          <w:sz w:val="24"/>
          <w:szCs w:val="24"/>
        </w:rPr>
      </w:pPr>
    </w:p>
    <w:p w14:paraId="7CC472B5" w14:textId="533EB13D" w:rsidR="003F4008" w:rsidRPr="003F4008" w:rsidRDefault="003F4008" w:rsidP="00F00234">
      <w:pPr>
        <w:jc w:val="center"/>
        <w:rPr>
          <w:rFonts w:ascii="Times New Roman" w:hAnsi="Times New Roman" w:cs="Times New Roman"/>
          <w:b/>
          <w:bCs/>
          <w:sz w:val="24"/>
          <w:szCs w:val="24"/>
        </w:rPr>
      </w:pPr>
      <w:r w:rsidRPr="003F4008">
        <w:rPr>
          <w:rFonts w:ascii="Times New Roman" w:hAnsi="Times New Roman" w:cs="Times New Roman"/>
          <w:b/>
          <w:bCs/>
          <w:sz w:val="24"/>
          <w:szCs w:val="24"/>
        </w:rPr>
        <w:t>References</w:t>
      </w:r>
    </w:p>
    <w:p w14:paraId="4A562548" w14:textId="7AD4F6B6" w:rsidR="00033F7B" w:rsidRPr="00F0509A" w:rsidRDefault="00F0509A" w:rsidP="00F0509A">
      <w:pPr>
        <w:ind w:left="720" w:hanging="720"/>
        <w:rPr>
          <w:rFonts w:ascii="Times New Roman" w:hAnsi="Times New Roman" w:cs="Times New Roman"/>
          <w:sz w:val="24"/>
          <w:szCs w:val="24"/>
        </w:rPr>
      </w:pPr>
      <w:r w:rsidRPr="00F0509A">
        <w:rPr>
          <w:rFonts w:ascii="Times New Roman" w:hAnsi="Times New Roman" w:cs="Times New Roman"/>
          <w:color w:val="222222"/>
          <w:sz w:val="24"/>
          <w:szCs w:val="24"/>
          <w:shd w:val="clear" w:color="auto" w:fill="FFFFFF"/>
        </w:rPr>
        <w:t xml:space="preserve">Abu-Mostafa, Y. S., &amp; </w:t>
      </w:r>
      <w:proofErr w:type="spellStart"/>
      <w:r w:rsidRPr="00F0509A">
        <w:rPr>
          <w:rFonts w:ascii="Times New Roman" w:hAnsi="Times New Roman" w:cs="Times New Roman"/>
          <w:color w:val="222222"/>
          <w:sz w:val="24"/>
          <w:szCs w:val="24"/>
          <w:shd w:val="clear" w:color="auto" w:fill="FFFFFF"/>
        </w:rPr>
        <w:t>Atiya</w:t>
      </w:r>
      <w:proofErr w:type="spellEnd"/>
      <w:r w:rsidRPr="00F0509A">
        <w:rPr>
          <w:rFonts w:ascii="Times New Roman" w:hAnsi="Times New Roman" w:cs="Times New Roman"/>
          <w:color w:val="222222"/>
          <w:sz w:val="24"/>
          <w:szCs w:val="24"/>
          <w:shd w:val="clear" w:color="auto" w:fill="FFFFFF"/>
        </w:rPr>
        <w:t>, A. F. (1996). Introduction to financial forecasting. </w:t>
      </w:r>
      <w:r w:rsidRPr="00F0509A">
        <w:rPr>
          <w:rFonts w:ascii="Times New Roman" w:hAnsi="Times New Roman" w:cs="Times New Roman"/>
          <w:i/>
          <w:iCs/>
          <w:color w:val="222222"/>
          <w:sz w:val="24"/>
          <w:szCs w:val="24"/>
          <w:shd w:val="clear" w:color="auto" w:fill="FFFFFF"/>
        </w:rPr>
        <w:t>Applied intelligence</w:t>
      </w:r>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6</w:t>
      </w:r>
      <w:r w:rsidRPr="00F0509A">
        <w:rPr>
          <w:rFonts w:ascii="Times New Roman" w:hAnsi="Times New Roman" w:cs="Times New Roman"/>
          <w:color w:val="222222"/>
          <w:sz w:val="24"/>
          <w:szCs w:val="24"/>
          <w:shd w:val="clear" w:color="auto" w:fill="FFFFFF"/>
        </w:rPr>
        <w:t>(3), 205-</w:t>
      </w:r>
      <w:proofErr w:type="gramStart"/>
      <w:r w:rsidRPr="00F0509A">
        <w:rPr>
          <w:rFonts w:ascii="Times New Roman" w:hAnsi="Times New Roman" w:cs="Times New Roman"/>
          <w:color w:val="222222"/>
          <w:sz w:val="24"/>
          <w:szCs w:val="24"/>
          <w:shd w:val="clear" w:color="auto" w:fill="FFFFFF"/>
        </w:rPr>
        <w:t>213.</w:t>
      </w:r>
      <w:r w:rsidR="00033F7B" w:rsidRPr="00F0509A">
        <w:rPr>
          <w:rFonts w:ascii="Times New Roman" w:hAnsi="Times New Roman" w:cs="Times New Roman"/>
          <w:sz w:val="24"/>
          <w:szCs w:val="24"/>
        </w:rPr>
        <w:t>.</w:t>
      </w:r>
      <w:proofErr w:type="gramEnd"/>
    </w:p>
    <w:p w14:paraId="624FA5FD" w14:textId="77777777" w:rsidR="00F0509A" w:rsidRPr="00F0509A" w:rsidRDefault="00F0509A" w:rsidP="00F0509A">
      <w:pPr>
        <w:ind w:left="720" w:hanging="720"/>
        <w:rPr>
          <w:rFonts w:ascii="Times New Roman" w:hAnsi="Times New Roman" w:cs="Times New Roman"/>
          <w:color w:val="222222"/>
          <w:sz w:val="24"/>
          <w:szCs w:val="24"/>
          <w:shd w:val="clear" w:color="auto" w:fill="FFFFFF"/>
        </w:rPr>
      </w:pPr>
      <w:proofErr w:type="spellStart"/>
      <w:r w:rsidRPr="00F0509A">
        <w:rPr>
          <w:rFonts w:ascii="Times New Roman" w:hAnsi="Times New Roman" w:cs="Times New Roman"/>
          <w:color w:val="222222"/>
          <w:sz w:val="24"/>
          <w:szCs w:val="24"/>
          <w:shd w:val="clear" w:color="auto" w:fill="FFFFFF"/>
        </w:rPr>
        <w:t>Andersson</w:t>
      </w:r>
      <w:proofErr w:type="spellEnd"/>
      <w:r w:rsidRPr="00F0509A">
        <w:rPr>
          <w:rFonts w:ascii="Times New Roman" w:hAnsi="Times New Roman" w:cs="Times New Roman"/>
          <w:color w:val="222222"/>
          <w:sz w:val="24"/>
          <w:szCs w:val="24"/>
          <w:shd w:val="clear" w:color="auto" w:fill="FFFFFF"/>
        </w:rPr>
        <w:t xml:space="preserve">, P., &amp; Hellman, N. (2007). Does pro forma reporting bias analyst </w:t>
      </w:r>
      <w:proofErr w:type="gramStart"/>
      <w:r w:rsidRPr="00F0509A">
        <w:rPr>
          <w:rFonts w:ascii="Times New Roman" w:hAnsi="Times New Roman" w:cs="Times New Roman"/>
          <w:color w:val="222222"/>
          <w:sz w:val="24"/>
          <w:szCs w:val="24"/>
          <w:shd w:val="clear" w:color="auto" w:fill="FFFFFF"/>
        </w:rPr>
        <w:t>forecasts?.</w:t>
      </w:r>
      <w:proofErr w:type="gramEnd"/>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European Accounting Review</w:t>
      </w:r>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16</w:t>
      </w:r>
      <w:r w:rsidRPr="00F0509A">
        <w:rPr>
          <w:rFonts w:ascii="Times New Roman" w:hAnsi="Times New Roman" w:cs="Times New Roman"/>
          <w:color w:val="222222"/>
          <w:sz w:val="24"/>
          <w:szCs w:val="24"/>
          <w:shd w:val="clear" w:color="auto" w:fill="FFFFFF"/>
        </w:rPr>
        <w:t>(2), 277-298.</w:t>
      </w:r>
    </w:p>
    <w:p w14:paraId="5B045A8A" w14:textId="77777777" w:rsidR="00F0509A" w:rsidRPr="00F0509A" w:rsidRDefault="00F0509A" w:rsidP="00F0509A">
      <w:pPr>
        <w:ind w:left="720" w:hanging="720"/>
        <w:rPr>
          <w:rFonts w:ascii="Times New Roman" w:hAnsi="Times New Roman" w:cs="Times New Roman"/>
          <w:color w:val="222222"/>
          <w:sz w:val="24"/>
          <w:szCs w:val="24"/>
          <w:shd w:val="clear" w:color="auto" w:fill="FFFFFF"/>
        </w:rPr>
      </w:pPr>
      <w:r w:rsidRPr="00F0509A">
        <w:rPr>
          <w:rFonts w:ascii="Times New Roman" w:hAnsi="Times New Roman" w:cs="Times New Roman"/>
          <w:color w:val="222222"/>
          <w:sz w:val="24"/>
          <w:szCs w:val="24"/>
          <w:shd w:val="clear" w:color="auto" w:fill="FFFFFF"/>
        </w:rPr>
        <w:t xml:space="preserve">Smith, R. O., Scherer, M. J., Cooper, R., Bell, D., Hobbs, D. A., </w:t>
      </w:r>
      <w:proofErr w:type="spellStart"/>
      <w:r w:rsidRPr="00F0509A">
        <w:rPr>
          <w:rFonts w:ascii="Times New Roman" w:hAnsi="Times New Roman" w:cs="Times New Roman"/>
          <w:color w:val="222222"/>
          <w:sz w:val="24"/>
          <w:szCs w:val="24"/>
          <w:shd w:val="clear" w:color="auto" w:fill="FFFFFF"/>
        </w:rPr>
        <w:t>Pettersson</w:t>
      </w:r>
      <w:proofErr w:type="spellEnd"/>
      <w:r w:rsidRPr="00F0509A">
        <w:rPr>
          <w:rFonts w:ascii="Times New Roman" w:hAnsi="Times New Roman" w:cs="Times New Roman"/>
          <w:color w:val="222222"/>
          <w:sz w:val="24"/>
          <w:szCs w:val="24"/>
          <w:shd w:val="clear" w:color="auto" w:fill="FFFFFF"/>
        </w:rPr>
        <w:t>, C., ... &amp; Sujatha, S. (2018). Assistive technology products: a position paper from the first global research, innovation, and education on assistive technology (GREAT) summit. </w:t>
      </w:r>
      <w:r w:rsidRPr="00F0509A">
        <w:rPr>
          <w:rFonts w:ascii="Times New Roman" w:hAnsi="Times New Roman" w:cs="Times New Roman"/>
          <w:i/>
          <w:iCs/>
          <w:color w:val="222222"/>
          <w:sz w:val="24"/>
          <w:szCs w:val="24"/>
          <w:shd w:val="clear" w:color="auto" w:fill="FFFFFF"/>
        </w:rPr>
        <w:t>Disability and Rehabilitation: Assistive Technology</w:t>
      </w:r>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13</w:t>
      </w:r>
      <w:r w:rsidRPr="00F0509A">
        <w:rPr>
          <w:rFonts w:ascii="Times New Roman" w:hAnsi="Times New Roman" w:cs="Times New Roman"/>
          <w:color w:val="222222"/>
          <w:sz w:val="24"/>
          <w:szCs w:val="24"/>
          <w:shd w:val="clear" w:color="auto" w:fill="FFFFFF"/>
        </w:rPr>
        <w:t>(5), 473-485.</w:t>
      </w:r>
    </w:p>
    <w:p w14:paraId="44D0717F" w14:textId="77777777" w:rsidR="00F0509A" w:rsidRPr="00F0509A" w:rsidRDefault="00F0509A" w:rsidP="00F0509A">
      <w:pPr>
        <w:ind w:left="720" w:hanging="720"/>
        <w:rPr>
          <w:rFonts w:ascii="Times New Roman" w:hAnsi="Times New Roman" w:cs="Times New Roman"/>
          <w:color w:val="222222"/>
          <w:sz w:val="24"/>
          <w:szCs w:val="24"/>
          <w:shd w:val="clear" w:color="auto" w:fill="FFFFFF"/>
        </w:rPr>
      </w:pPr>
      <w:r w:rsidRPr="00F0509A">
        <w:rPr>
          <w:rFonts w:ascii="Times New Roman" w:hAnsi="Times New Roman" w:cs="Times New Roman"/>
          <w:color w:val="222222"/>
          <w:sz w:val="24"/>
          <w:szCs w:val="24"/>
          <w:shd w:val="clear" w:color="auto" w:fill="FFFFFF"/>
        </w:rPr>
        <w:t xml:space="preserve">McClellan, M., </w:t>
      </w:r>
      <w:proofErr w:type="spellStart"/>
      <w:r w:rsidRPr="00F0509A">
        <w:rPr>
          <w:rFonts w:ascii="Times New Roman" w:hAnsi="Times New Roman" w:cs="Times New Roman"/>
          <w:color w:val="222222"/>
          <w:sz w:val="24"/>
          <w:szCs w:val="24"/>
          <w:shd w:val="clear" w:color="auto" w:fill="FFFFFF"/>
        </w:rPr>
        <w:t>McKethan</w:t>
      </w:r>
      <w:proofErr w:type="spellEnd"/>
      <w:r w:rsidRPr="00F0509A">
        <w:rPr>
          <w:rFonts w:ascii="Times New Roman" w:hAnsi="Times New Roman" w:cs="Times New Roman"/>
          <w:color w:val="222222"/>
          <w:sz w:val="24"/>
          <w:szCs w:val="24"/>
          <w:shd w:val="clear" w:color="auto" w:fill="FFFFFF"/>
        </w:rPr>
        <w:t xml:space="preserve">, A. N., Lewis, J. L., </w:t>
      </w:r>
      <w:proofErr w:type="spellStart"/>
      <w:r w:rsidRPr="00F0509A">
        <w:rPr>
          <w:rFonts w:ascii="Times New Roman" w:hAnsi="Times New Roman" w:cs="Times New Roman"/>
          <w:color w:val="222222"/>
          <w:sz w:val="24"/>
          <w:szCs w:val="24"/>
          <w:shd w:val="clear" w:color="auto" w:fill="FFFFFF"/>
        </w:rPr>
        <w:t>Roski</w:t>
      </w:r>
      <w:proofErr w:type="spellEnd"/>
      <w:r w:rsidRPr="00F0509A">
        <w:rPr>
          <w:rFonts w:ascii="Times New Roman" w:hAnsi="Times New Roman" w:cs="Times New Roman"/>
          <w:color w:val="222222"/>
          <w:sz w:val="24"/>
          <w:szCs w:val="24"/>
          <w:shd w:val="clear" w:color="auto" w:fill="FFFFFF"/>
        </w:rPr>
        <w:t>, J., &amp; Fisher, E. S. (2010). A national strategy to put accountable care into practice. </w:t>
      </w:r>
      <w:r w:rsidRPr="00F0509A">
        <w:rPr>
          <w:rFonts w:ascii="Times New Roman" w:hAnsi="Times New Roman" w:cs="Times New Roman"/>
          <w:i/>
          <w:iCs/>
          <w:color w:val="222222"/>
          <w:sz w:val="24"/>
          <w:szCs w:val="24"/>
          <w:shd w:val="clear" w:color="auto" w:fill="FFFFFF"/>
        </w:rPr>
        <w:t>Health Affairs</w:t>
      </w:r>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29</w:t>
      </w:r>
      <w:r w:rsidRPr="00F0509A">
        <w:rPr>
          <w:rFonts w:ascii="Times New Roman" w:hAnsi="Times New Roman" w:cs="Times New Roman"/>
          <w:color w:val="222222"/>
          <w:sz w:val="24"/>
          <w:szCs w:val="24"/>
          <w:shd w:val="clear" w:color="auto" w:fill="FFFFFF"/>
        </w:rPr>
        <w:t>(5), 982-990.</w:t>
      </w:r>
    </w:p>
    <w:p w14:paraId="1D21FFAC" w14:textId="04E04D99" w:rsidR="00F0509A" w:rsidRPr="00F0509A" w:rsidRDefault="00F0509A" w:rsidP="00F0509A">
      <w:pPr>
        <w:ind w:left="720" w:hanging="720"/>
        <w:rPr>
          <w:rFonts w:ascii="Times New Roman" w:hAnsi="Times New Roman" w:cs="Times New Roman"/>
          <w:color w:val="222222"/>
          <w:sz w:val="24"/>
          <w:szCs w:val="24"/>
          <w:shd w:val="clear" w:color="auto" w:fill="FFFFFF"/>
        </w:rPr>
      </w:pPr>
      <w:r w:rsidRPr="00F0509A">
        <w:rPr>
          <w:rFonts w:ascii="Times New Roman" w:hAnsi="Times New Roman" w:cs="Times New Roman"/>
          <w:color w:val="222222"/>
          <w:sz w:val="24"/>
          <w:szCs w:val="24"/>
          <w:shd w:val="clear" w:color="auto" w:fill="FFFFFF"/>
        </w:rPr>
        <w:t>Armstrong, J. S. (Ed.). (2001). </w:t>
      </w:r>
      <w:r w:rsidRPr="00F0509A">
        <w:rPr>
          <w:rFonts w:ascii="Times New Roman" w:hAnsi="Times New Roman" w:cs="Times New Roman"/>
          <w:i/>
          <w:iCs/>
          <w:color w:val="222222"/>
          <w:sz w:val="24"/>
          <w:szCs w:val="24"/>
          <w:shd w:val="clear" w:color="auto" w:fill="FFFFFF"/>
        </w:rPr>
        <w:t>Principles of forecasting: a handbook for researchers and practitioners</w:t>
      </w:r>
      <w:r w:rsidRPr="00F0509A">
        <w:rPr>
          <w:rFonts w:ascii="Times New Roman" w:hAnsi="Times New Roman" w:cs="Times New Roman"/>
          <w:color w:val="222222"/>
          <w:sz w:val="24"/>
          <w:szCs w:val="24"/>
          <w:shd w:val="clear" w:color="auto" w:fill="FFFFFF"/>
        </w:rPr>
        <w:t> (Vol. 30). Springer Science &amp; Business Media.</w:t>
      </w:r>
    </w:p>
    <w:p w14:paraId="2C0D88AD" w14:textId="211F74EC" w:rsidR="00F0509A" w:rsidRPr="00F0509A" w:rsidRDefault="00F0509A" w:rsidP="00F0509A">
      <w:pPr>
        <w:ind w:left="720" w:hanging="720"/>
        <w:rPr>
          <w:rFonts w:ascii="Times New Roman" w:hAnsi="Times New Roman" w:cs="Times New Roman"/>
          <w:color w:val="222222"/>
          <w:sz w:val="24"/>
          <w:szCs w:val="24"/>
          <w:shd w:val="clear" w:color="auto" w:fill="FFFFFF"/>
        </w:rPr>
      </w:pPr>
      <w:proofErr w:type="spellStart"/>
      <w:r w:rsidRPr="00F0509A">
        <w:rPr>
          <w:rFonts w:ascii="Times New Roman" w:hAnsi="Times New Roman" w:cs="Times New Roman"/>
          <w:color w:val="222222"/>
          <w:sz w:val="24"/>
          <w:szCs w:val="24"/>
          <w:shd w:val="clear" w:color="auto" w:fill="FFFFFF"/>
        </w:rPr>
        <w:t>Kasapoglu</w:t>
      </w:r>
      <w:proofErr w:type="spellEnd"/>
      <w:r w:rsidRPr="00F0509A">
        <w:rPr>
          <w:rFonts w:ascii="Times New Roman" w:hAnsi="Times New Roman" w:cs="Times New Roman"/>
          <w:color w:val="222222"/>
          <w:sz w:val="24"/>
          <w:szCs w:val="24"/>
          <w:shd w:val="clear" w:color="auto" w:fill="FFFFFF"/>
        </w:rPr>
        <w:t>, O. A. (2016). Selection of the forecasting model in health care. </w:t>
      </w:r>
      <w:r w:rsidRPr="00F0509A">
        <w:rPr>
          <w:rFonts w:ascii="Times New Roman" w:hAnsi="Times New Roman" w:cs="Times New Roman"/>
          <w:i/>
          <w:iCs/>
          <w:color w:val="222222"/>
          <w:sz w:val="24"/>
          <w:szCs w:val="24"/>
          <w:shd w:val="clear" w:color="auto" w:fill="FFFFFF"/>
        </w:rPr>
        <w:t xml:space="preserve">J. Hosp. Med. </w:t>
      </w:r>
      <w:proofErr w:type="spellStart"/>
      <w:r w:rsidRPr="00F0509A">
        <w:rPr>
          <w:rFonts w:ascii="Times New Roman" w:hAnsi="Times New Roman" w:cs="Times New Roman"/>
          <w:i/>
          <w:iCs/>
          <w:color w:val="222222"/>
          <w:sz w:val="24"/>
          <w:szCs w:val="24"/>
          <w:shd w:val="clear" w:color="auto" w:fill="FFFFFF"/>
        </w:rPr>
        <w:t>Manag</w:t>
      </w:r>
      <w:proofErr w:type="spellEnd"/>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2</w:t>
      </w:r>
      <w:r w:rsidRPr="00F0509A">
        <w:rPr>
          <w:rFonts w:ascii="Times New Roman" w:hAnsi="Times New Roman" w:cs="Times New Roman"/>
          <w:color w:val="222222"/>
          <w:sz w:val="24"/>
          <w:szCs w:val="24"/>
          <w:shd w:val="clear" w:color="auto" w:fill="FFFFFF"/>
        </w:rPr>
        <w:t>(2), 1-5.</w:t>
      </w:r>
    </w:p>
    <w:p w14:paraId="19958608" w14:textId="63FF0A5F" w:rsidR="00A00DE1" w:rsidRPr="00F0509A" w:rsidRDefault="00F0509A" w:rsidP="00F0509A">
      <w:pPr>
        <w:ind w:left="720" w:hanging="720"/>
        <w:rPr>
          <w:rFonts w:ascii="Times New Roman" w:hAnsi="Times New Roman" w:cs="Times New Roman"/>
          <w:sz w:val="24"/>
          <w:szCs w:val="24"/>
        </w:rPr>
      </w:pPr>
      <w:proofErr w:type="spellStart"/>
      <w:r w:rsidRPr="00F0509A">
        <w:rPr>
          <w:rFonts w:ascii="Times New Roman" w:hAnsi="Times New Roman" w:cs="Times New Roman"/>
          <w:color w:val="222222"/>
          <w:sz w:val="24"/>
          <w:szCs w:val="24"/>
          <w:shd w:val="clear" w:color="auto" w:fill="FFFFFF"/>
        </w:rPr>
        <w:t>Soyiri</w:t>
      </w:r>
      <w:proofErr w:type="spellEnd"/>
      <w:r w:rsidRPr="00F0509A">
        <w:rPr>
          <w:rFonts w:ascii="Times New Roman" w:hAnsi="Times New Roman" w:cs="Times New Roman"/>
          <w:color w:val="222222"/>
          <w:sz w:val="24"/>
          <w:szCs w:val="24"/>
          <w:shd w:val="clear" w:color="auto" w:fill="FFFFFF"/>
        </w:rPr>
        <w:t xml:space="preserve">, I. N., &amp; </w:t>
      </w:r>
      <w:proofErr w:type="spellStart"/>
      <w:r w:rsidRPr="00F0509A">
        <w:rPr>
          <w:rFonts w:ascii="Times New Roman" w:hAnsi="Times New Roman" w:cs="Times New Roman"/>
          <w:color w:val="222222"/>
          <w:sz w:val="24"/>
          <w:szCs w:val="24"/>
          <w:shd w:val="clear" w:color="auto" w:fill="FFFFFF"/>
        </w:rPr>
        <w:t>Reidpath</w:t>
      </w:r>
      <w:proofErr w:type="spellEnd"/>
      <w:r w:rsidRPr="00F0509A">
        <w:rPr>
          <w:rFonts w:ascii="Times New Roman" w:hAnsi="Times New Roman" w:cs="Times New Roman"/>
          <w:color w:val="222222"/>
          <w:sz w:val="24"/>
          <w:szCs w:val="24"/>
          <w:shd w:val="clear" w:color="auto" w:fill="FFFFFF"/>
        </w:rPr>
        <w:t>, D. D. (2013). An overview of health forecasting. </w:t>
      </w:r>
      <w:r w:rsidRPr="00F0509A">
        <w:rPr>
          <w:rFonts w:ascii="Times New Roman" w:hAnsi="Times New Roman" w:cs="Times New Roman"/>
          <w:i/>
          <w:iCs/>
          <w:color w:val="222222"/>
          <w:sz w:val="24"/>
          <w:szCs w:val="24"/>
          <w:shd w:val="clear" w:color="auto" w:fill="FFFFFF"/>
        </w:rPr>
        <w:t>Environmental health and preventive medicine</w:t>
      </w:r>
      <w:r w:rsidRPr="00F0509A">
        <w:rPr>
          <w:rFonts w:ascii="Times New Roman" w:hAnsi="Times New Roman" w:cs="Times New Roman"/>
          <w:color w:val="222222"/>
          <w:sz w:val="24"/>
          <w:szCs w:val="24"/>
          <w:shd w:val="clear" w:color="auto" w:fill="FFFFFF"/>
        </w:rPr>
        <w:t>, </w:t>
      </w:r>
      <w:r w:rsidRPr="00F0509A">
        <w:rPr>
          <w:rFonts w:ascii="Times New Roman" w:hAnsi="Times New Roman" w:cs="Times New Roman"/>
          <w:i/>
          <w:iCs/>
          <w:color w:val="222222"/>
          <w:sz w:val="24"/>
          <w:szCs w:val="24"/>
          <w:shd w:val="clear" w:color="auto" w:fill="FFFFFF"/>
        </w:rPr>
        <w:t>18</w:t>
      </w:r>
      <w:r w:rsidRPr="00F0509A">
        <w:rPr>
          <w:rFonts w:ascii="Times New Roman" w:hAnsi="Times New Roman" w:cs="Times New Roman"/>
          <w:color w:val="222222"/>
          <w:sz w:val="24"/>
          <w:szCs w:val="24"/>
          <w:shd w:val="clear" w:color="auto" w:fill="FFFFFF"/>
        </w:rPr>
        <w:t>(1), 1-9.</w:t>
      </w:r>
    </w:p>
    <w:p w14:paraId="422ED3EE" w14:textId="5F4DD35E" w:rsidR="00BE0F7C" w:rsidRPr="00F0509A" w:rsidRDefault="00BE0F7C" w:rsidP="00F0509A">
      <w:pPr>
        <w:ind w:left="720" w:hanging="720"/>
        <w:rPr>
          <w:rFonts w:ascii="Times New Roman" w:hAnsi="Times New Roman" w:cs="Times New Roman"/>
          <w:sz w:val="24"/>
          <w:szCs w:val="24"/>
        </w:rPr>
      </w:pPr>
      <w:r w:rsidRPr="00F0509A">
        <w:rPr>
          <w:rFonts w:ascii="Times New Roman" w:hAnsi="Times New Roman" w:cs="Times New Roman"/>
          <w:sz w:val="24"/>
          <w:szCs w:val="24"/>
        </w:rPr>
        <w:t>Capital IQ Database</w:t>
      </w:r>
    </w:p>
    <w:sectPr w:rsidR="00BE0F7C" w:rsidRPr="00F0509A" w:rsidSect="004403B8">
      <w:headerReference w:type="default"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16ED0" w14:textId="77777777" w:rsidR="00F96A88" w:rsidRDefault="00F96A88" w:rsidP="00191EBD">
      <w:pPr>
        <w:spacing w:after="0" w:line="240" w:lineRule="auto"/>
      </w:pPr>
      <w:r>
        <w:separator/>
      </w:r>
    </w:p>
  </w:endnote>
  <w:endnote w:type="continuationSeparator" w:id="0">
    <w:p w14:paraId="673EC41E" w14:textId="77777777" w:rsidR="00F96A88" w:rsidRDefault="00F96A88" w:rsidP="00191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D677F" w14:textId="6A2D9F32" w:rsidR="00191EBD" w:rsidRDefault="00191EBD">
    <w:pPr>
      <w:pStyle w:val="Footer"/>
      <w:jc w:val="right"/>
    </w:pPr>
  </w:p>
  <w:p w14:paraId="4679B73E" w14:textId="77777777" w:rsidR="00191EBD" w:rsidRDefault="00191E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51B10" w14:textId="77777777" w:rsidR="00F96A88" w:rsidRDefault="00F96A88" w:rsidP="00191EBD">
      <w:pPr>
        <w:spacing w:after="0" w:line="240" w:lineRule="auto"/>
      </w:pPr>
      <w:r>
        <w:separator/>
      </w:r>
    </w:p>
  </w:footnote>
  <w:footnote w:type="continuationSeparator" w:id="0">
    <w:p w14:paraId="24D77723" w14:textId="77777777" w:rsidR="00F96A88" w:rsidRDefault="00F96A88" w:rsidP="00191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8F573" w14:textId="7E757A80" w:rsidR="00F00234" w:rsidRPr="00F00234" w:rsidRDefault="00F00234">
    <w:pPr>
      <w:pStyle w:val="Header"/>
      <w:rPr>
        <w:rFonts w:ascii="Times New Roman" w:hAnsi="Times New Roman" w:cs="Times New Roman"/>
        <w:sz w:val="24"/>
        <w:szCs w:val="24"/>
      </w:rPr>
    </w:pPr>
    <w:r w:rsidRPr="00F00234">
      <w:rPr>
        <w:rFonts w:ascii="Times New Roman" w:hAnsi="Times New Roman" w:cs="Times New Roman"/>
        <w:sz w:val="24"/>
        <w:szCs w:val="24"/>
      </w:rPr>
      <w:t>FINANCIAL FORECASTING</w:t>
    </w:r>
    <w:r w:rsidRPr="00F00234">
      <w:rPr>
        <w:rFonts w:ascii="Times New Roman" w:hAnsi="Times New Roman" w:cs="Times New Roman"/>
        <w:sz w:val="24"/>
        <w:szCs w:val="24"/>
      </w:rPr>
      <w:tab/>
    </w:r>
    <w:r w:rsidRPr="00F00234">
      <w:rPr>
        <w:rFonts w:ascii="Times New Roman" w:hAnsi="Times New Roman" w:cs="Times New Roman"/>
        <w:sz w:val="24"/>
        <w:szCs w:val="24"/>
      </w:rPr>
      <w:tab/>
    </w:r>
    <w:sdt>
      <w:sdtPr>
        <w:rPr>
          <w:rFonts w:ascii="Times New Roman" w:hAnsi="Times New Roman" w:cs="Times New Roman"/>
          <w:sz w:val="24"/>
          <w:szCs w:val="24"/>
        </w:rPr>
        <w:id w:val="-575281992"/>
        <w:docPartObj>
          <w:docPartGallery w:val="Page Numbers (Top of Page)"/>
          <w:docPartUnique/>
        </w:docPartObj>
      </w:sdtPr>
      <w:sdtEndPr>
        <w:rPr>
          <w:noProof/>
        </w:rPr>
      </w:sdtEndPr>
      <w:sdtContent>
        <w:r w:rsidRPr="00F00234">
          <w:rPr>
            <w:rFonts w:ascii="Times New Roman" w:hAnsi="Times New Roman" w:cs="Times New Roman"/>
            <w:sz w:val="24"/>
            <w:szCs w:val="24"/>
          </w:rPr>
          <w:fldChar w:fldCharType="begin"/>
        </w:r>
        <w:r w:rsidRPr="00F00234">
          <w:rPr>
            <w:rFonts w:ascii="Times New Roman" w:hAnsi="Times New Roman" w:cs="Times New Roman"/>
            <w:sz w:val="24"/>
            <w:szCs w:val="24"/>
          </w:rPr>
          <w:instrText xml:space="preserve"> PAGE   \* MERGEFORMAT </w:instrText>
        </w:r>
        <w:r w:rsidRPr="00F00234">
          <w:rPr>
            <w:rFonts w:ascii="Times New Roman" w:hAnsi="Times New Roman" w:cs="Times New Roman"/>
            <w:sz w:val="24"/>
            <w:szCs w:val="24"/>
          </w:rPr>
          <w:fldChar w:fldCharType="separate"/>
        </w:r>
        <w:r w:rsidR="00F0509A">
          <w:rPr>
            <w:rFonts w:ascii="Times New Roman" w:hAnsi="Times New Roman" w:cs="Times New Roman"/>
            <w:noProof/>
            <w:sz w:val="24"/>
            <w:szCs w:val="24"/>
          </w:rPr>
          <w:t>8</w:t>
        </w:r>
        <w:r w:rsidRPr="00F00234">
          <w:rPr>
            <w:rFonts w:ascii="Times New Roman" w:hAnsi="Times New Roman" w:cs="Times New Roman"/>
            <w:noProof/>
            <w:sz w:val="24"/>
            <w:szCs w:val="24"/>
          </w:rPr>
          <w:fldChar w:fldCharType="end"/>
        </w:r>
      </w:sdtContent>
    </w:sdt>
  </w:p>
  <w:p w14:paraId="0334EA92" w14:textId="77777777" w:rsidR="00F00234" w:rsidRPr="00F00234" w:rsidRDefault="00F0023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2E0F" w14:textId="2C807A40" w:rsidR="00F00234" w:rsidRPr="00F00234" w:rsidRDefault="00F00234">
    <w:pPr>
      <w:pStyle w:val="Header"/>
      <w:rPr>
        <w:rFonts w:ascii="Times New Roman" w:hAnsi="Times New Roman" w:cs="Times New Roman"/>
        <w:sz w:val="24"/>
        <w:szCs w:val="24"/>
      </w:rPr>
    </w:pPr>
    <w:r w:rsidRPr="00F00234">
      <w:rPr>
        <w:rFonts w:ascii="Times New Roman" w:hAnsi="Times New Roman" w:cs="Times New Roman"/>
        <w:sz w:val="24"/>
        <w:szCs w:val="24"/>
      </w:rPr>
      <w:t>RUNNING HEAD:</w:t>
    </w:r>
    <w:r>
      <w:rPr>
        <w:rFonts w:ascii="Times New Roman" w:hAnsi="Times New Roman" w:cs="Times New Roman"/>
        <w:sz w:val="24"/>
        <w:szCs w:val="24"/>
      </w:rPr>
      <w:t xml:space="preserve"> FINANCIAL F</w:t>
    </w:r>
    <w:r w:rsidRPr="00F00234">
      <w:rPr>
        <w:rFonts w:ascii="Times New Roman" w:hAnsi="Times New Roman" w:cs="Times New Roman"/>
        <w:sz w:val="24"/>
        <w:szCs w:val="24"/>
      </w:rPr>
      <w:t>OR</w:t>
    </w:r>
    <w:r>
      <w:rPr>
        <w:rFonts w:ascii="Times New Roman" w:hAnsi="Times New Roman" w:cs="Times New Roman"/>
        <w:sz w:val="24"/>
        <w:szCs w:val="24"/>
      </w:rPr>
      <w:t>E</w:t>
    </w:r>
    <w:r w:rsidRPr="00F00234">
      <w:rPr>
        <w:rFonts w:ascii="Times New Roman" w:hAnsi="Times New Roman" w:cs="Times New Roman"/>
        <w:sz w:val="24"/>
        <w:szCs w:val="24"/>
      </w:rPr>
      <w:t>CASTING</w:t>
    </w:r>
    <w:r w:rsidRPr="00F00234">
      <w:rPr>
        <w:rFonts w:ascii="Times New Roman" w:hAnsi="Times New Roman" w:cs="Times New Roman"/>
        <w:sz w:val="24"/>
        <w:szCs w:val="24"/>
      </w:rPr>
      <w:tab/>
    </w:r>
  </w:p>
  <w:p w14:paraId="14D14BBC" w14:textId="16DC7E85" w:rsidR="00F00234" w:rsidRPr="00F00234" w:rsidRDefault="00F0023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65627C"/>
    <w:multiLevelType w:val="hybridMultilevel"/>
    <w:tmpl w:val="E79AB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D2F"/>
    <w:rsid w:val="000321A3"/>
    <w:rsid w:val="000326CF"/>
    <w:rsid w:val="00033F7B"/>
    <w:rsid w:val="00084CCE"/>
    <w:rsid w:val="000A6877"/>
    <w:rsid w:val="000C4C38"/>
    <w:rsid w:val="000F5230"/>
    <w:rsid w:val="000F7494"/>
    <w:rsid w:val="00100F08"/>
    <w:rsid w:val="00140037"/>
    <w:rsid w:val="00175659"/>
    <w:rsid w:val="00191EBD"/>
    <w:rsid w:val="002441CF"/>
    <w:rsid w:val="00245CF0"/>
    <w:rsid w:val="00260063"/>
    <w:rsid w:val="00285DEE"/>
    <w:rsid w:val="0029251C"/>
    <w:rsid w:val="002B4B77"/>
    <w:rsid w:val="002D680C"/>
    <w:rsid w:val="003959BE"/>
    <w:rsid w:val="003F4008"/>
    <w:rsid w:val="00415768"/>
    <w:rsid w:val="004403B8"/>
    <w:rsid w:val="004705A1"/>
    <w:rsid w:val="00516BC9"/>
    <w:rsid w:val="00580C07"/>
    <w:rsid w:val="005C2F24"/>
    <w:rsid w:val="006547CD"/>
    <w:rsid w:val="006D3ABE"/>
    <w:rsid w:val="006E45E4"/>
    <w:rsid w:val="006E4FFD"/>
    <w:rsid w:val="00744478"/>
    <w:rsid w:val="00755D14"/>
    <w:rsid w:val="00861A3B"/>
    <w:rsid w:val="009B3E70"/>
    <w:rsid w:val="009F3A53"/>
    <w:rsid w:val="00A00DE1"/>
    <w:rsid w:val="00A633D7"/>
    <w:rsid w:val="00AF0F30"/>
    <w:rsid w:val="00B52A8A"/>
    <w:rsid w:val="00B767A0"/>
    <w:rsid w:val="00BE0F7C"/>
    <w:rsid w:val="00C258AE"/>
    <w:rsid w:val="00C31D2F"/>
    <w:rsid w:val="00D46CAF"/>
    <w:rsid w:val="00E97629"/>
    <w:rsid w:val="00ED7381"/>
    <w:rsid w:val="00F00234"/>
    <w:rsid w:val="00F0509A"/>
    <w:rsid w:val="00F43306"/>
    <w:rsid w:val="00F52EA5"/>
    <w:rsid w:val="00F96A88"/>
    <w:rsid w:val="00FA2002"/>
    <w:rsid w:val="00FE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E3F3"/>
  <w15:chartTrackingRefBased/>
  <w15:docId w15:val="{3BBCE760-F84A-473A-AC31-D5A3E8BFB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4008"/>
    <w:rPr>
      <w:color w:val="0000FF"/>
      <w:u w:val="single"/>
    </w:rPr>
  </w:style>
  <w:style w:type="paragraph" w:styleId="ListParagraph">
    <w:name w:val="List Paragraph"/>
    <w:basedOn w:val="Normal"/>
    <w:uiPriority w:val="34"/>
    <w:qFormat/>
    <w:rsid w:val="00D46CAF"/>
    <w:pPr>
      <w:ind w:left="720"/>
      <w:contextualSpacing/>
    </w:pPr>
  </w:style>
  <w:style w:type="paragraph" w:styleId="NoSpacing">
    <w:name w:val="No Spacing"/>
    <w:link w:val="NoSpacingChar"/>
    <w:uiPriority w:val="1"/>
    <w:qFormat/>
    <w:rsid w:val="004403B8"/>
    <w:pPr>
      <w:spacing w:after="0" w:line="240" w:lineRule="auto"/>
    </w:pPr>
    <w:rPr>
      <w:rFonts w:eastAsiaTheme="minorEastAsia"/>
    </w:rPr>
  </w:style>
  <w:style w:type="character" w:customStyle="1" w:styleId="NoSpacingChar">
    <w:name w:val="No Spacing Char"/>
    <w:basedOn w:val="DefaultParagraphFont"/>
    <w:link w:val="NoSpacing"/>
    <w:uiPriority w:val="1"/>
    <w:rsid w:val="004403B8"/>
    <w:rPr>
      <w:rFonts w:eastAsiaTheme="minorEastAsia"/>
    </w:rPr>
  </w:style>
  <w:style w:type="paragraph" w:styleId="Header">
    <w:name w:val="header"/>
    <w:basedOn w:val="Normal"/>
    <w:link w:val="HeaderChar"/>
    <w:uiPriority w:val="99"/>
    <w:unhideWhenUsed/>
    <w:rsid w:val="00191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EBD"/>
  </w:style>
  <w:style w:type="paragraph" w:styleId="Footer">
    <w:name w:val="footer"/>
    <w:basedOn w:val="Normal"/>
    <w:link w:val="FooterChar"/>
    <w:uiPriority w:val="99"/>
    <w:unhideWhenUsed/>
    <w:rsid w:val="00191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31258">
      <w:bodyDiv w:val="1"/>
      <w:marLeft w:val="0"/>
      <w:marRight w:val="0"/>
      <w:marTop w:val="0"/>
      <w:marBottom w:val="0"/>
      <w:divBdr>
        <w:top w:val="none" w:sz="0" w:space="0" w:color="auto"/>
        <w:left w:val="none" w:sz="0" w:space="0" w:color="auto"/>
        <w:bottom w:val="none" w:sz="0" w:space="0" w:color="auto"/>
        <w:right w:val="none" w:sz="0" w:space="0" w:color="auto"/>
      </w:divBdr>
    </w:div>
    <w:div w:id="1495608198">
      <w:bodyDiv w:val="1"/>
      <w:marLeft w:val="0"/>
      <w:marRight w:val="0"/>
      <w:marTop w:val="0"/>
      <w:marBottom w:val="0"/>
      <w:divBdr>
        <w:top w:val="none" w:sz="0" w:space="0" w:color="auto"/>
        <w:left w:val="none" w:sz="0" w:space="0" w:color="auto"/>
        <w:bottom w:val="none" w:sz="0" w:space="0" w:color="auto"/>
        <w:right w:val="none" w:sz="0" w:space="0" w:color="auto"/>
      </w:divBdr>
    </w:div>
    <w:div w:id="1755205468">
      <w:bodyDiv w:val="1"/>
      <w:marLeft w:val="0"/>
      <w:marRight w:val="0"/>
      <w:marTop w:val="0"/>
      <w:marBottom w:val="0"/>
      <w:divBdr>
        <w:top w:val="none" w:sz="0" w:space="0" w:color="auto"/>
        <w:left w:val="none" w:sz="0" w:space="0" w:color="auto"/>
        <w:bottom w:val="none" w:sz="0" w:space="0" w:color="auto"/>
        <w:right w:val="none" w:sz="0" w:space="0" w:color="auto"/>
      </w:divBdr>
    </w:div>
    <w:div w:id="191037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4F48A-9995-4698-9F6B-F48554CEA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2434</Words>
  <Characters>13877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Financial Forecasting
Assignment</vt:lpstr>
    </vt:vector>
  </TitlesOfParts>
  <Company/>
  <LinksUpToDate>false</LinksUpToDate>
  <CharactersWithSpaces>16279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dc:creator>
  <cp:keywords/>
  <dc:description/>
  <cp:lastModifiedBy>User</cp:lastModifiedBy>
  <cp:revision>2</cp:revision>
  <dcterms:created xsi:type="dcterms:W3CDTF">2020-11-21T13:21:00Z</dcterms:created>
  <dcterms:modified xsi:type="dcterms:W3CDTF">2020-11-21T13:21:00Z</dcterms:modified>
</cp:coreProperties>
</file>